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AE8EB">
      <w:pPr>
        <w:rPr>
          <w:rFonts w:hint="eastAsia" w:ascii="黑体" w:hAnsi="黑体" w:eastAsia="黑体"/>
          <w:sz w:val="32"/>
          <w:szCs w:val="32"/>
        </w:rPr>
      </w:pPr>
    </w:p>
    <w:p w14:paraId="3BE66619">
      <w:pPr>
        <w:jc w:val="center"/>
        <w:rPr>
          <w:rFonts w:hint="eastAsia" w:ascii="方正小标宋_GBK" w:hAnsi="宋体" w:eastAsia="方正小标宋_GBK"/>
          <w:sz w:val="44"/>
          <w:szCs w:val="44"/>
        </w:rPr>
      </w:pPr>
    </w:p>
    <w:p w14:paraId="2161622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中共木垒哈萨克自治县委员会统一</w:t>
      </w:r>
    </w:p>
    <w:p w14:paraId="22297B5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战线工作部2023年度部门决算</w:t>
      </w:r>
    </w:p>
    <w:p w14:paraId="2C6D766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E64E173">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F29FF45">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932FC12">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3FCF7B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AB7CB4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7FEF5B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B24E51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175700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156CF9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A66F66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B0699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74A919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2BF94C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ABAC6F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A6EFE0A">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F14B4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85B927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5C0FC92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4A403A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32C0F0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C487932">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35E593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59192F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CBFA42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F08921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6D9E2E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E2DA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CF6F2C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8CD576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89DBA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6084B96">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748B533">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B5C3B2B">
      <w:r>
        <w:rPr>
          <w:rFonts w:hint="eastAsia" w:ascii="仿宋_GB2312" w:hAnsi="仿宋_GB2312" w:eastAsia="仿宋_GB2312" w:cs="仿宋_GB2312"/>
          <w:sz w:val="32"/>
          <w:szCs w:val="32"/>
        </w:rPr>
        <w:fldChar w:fldCharType="end"/>
      </w:r>
    </w:p>
    <w:p w14:paraId="1C56D211">
      <w:pPr>
        <w:rPr>
          <w:rFonts w:ascii="仿宋_GB2312" w:eastAsia="仿宋_GB2312"/>
          <w:sz w:val="32"/>
          <w:szCs w:val="32"/>
        </w:rPr>
      </w:pPr>
      <w:r>
        <w:rPr>
          <w:rFonts w:hint="eastAsia" w:ascii="仿宋_GB2312" w:eastAsia="仿宋_GB2312"/>
          <w:sz w:val="32"/>
          <w:szCs w:val="32"/>
        </w:rPr>
        <w:br w:type="page"/>
      </w:r>
    </w:p>
    <w:p w14:paraId="49C589F3">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3A4A1CD3">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4840938F">
      <w:pPr>
        <w:ind w:firstLine="640" w:firstLineChars="200"/>
        <w:jc w:val="left"/>
        <w:rPr>
          <w:rFonts w:ascii="仿宋_GB2312" w:eastAsia="仿宋_GB2312"/>
          <w:sz w:val="32"/>
          <w:szCs w:val="32"/>
        </w:rPr>
      </w:pPr>
      <w:r>
        <w:rPr>
          <w:rFonts w:hint="eastAsia" w:ascii="仿宋_GB2312" w:hAnsi="仿宋_GB2312" w:eastAsia="仿宋_GB2312" w:cs="仿宋_GB2312"/>
          <w:sz w:val="32"/>
          <w:szCs w:val="32"/>
        </w:rPr>
        <w:t>昌吉州中共木垒哈萨克自治县委员会统一战线工作部主要职能不予公开</w:t>
      </w:r>
      <w:r>
        <w:rPr>
          <w:rFonts w:hint="eastAsia" w:ascii="仿宋_GB2312" w:eastAsia="仿宋_GB2312"/>
          <w:sz w:val="32"/>
          <w:szCs w:val="32"/>
        </w:rPr>
        <w:t>。</w:t>
      </w:r>
    </w:p>
    <w:p w14:paraId="7069A4AC">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FDF3E84">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中共木垒哈萨克自治县委员会统一战线工作部2023年度，实有人数</w:t>
      </w:r>
      <w:r>
        <w:rPr>
          <w:rFonts w:hint="eastAsia" w:ascii="仿宋_GB2312" w:eastAsia="仿宋_GB2312"/>
          <w:sz w:val="32"/>
          <w:szCs w:val="32"/>
          <w:lang w:val="zh-CN"/>
        </w:rPr>
        <w:t>27</w:t>
      </w:r>
      <w:r>
        <w:rPr>
          <w:rFonts w:hint="eastAsia" w:ascii="仿宋_GB2312" w:eastAsia="仿宋_GB2312"/>
          <w:sz w:val="32"/>
          <w:szCs w:val="32"/>
        </w:rPr>
        <w:t>人，其中：在职人员</w:t>
      </w:r>
      <w:r>
        <w:rPr>
          <w:rFonts w:hint="eastAsia" w:ascii="仿宋_GB2312" w:eastAsia="仿宋_GB2312"/>
          <w:sz w:val="32"/>
          <w:szCs w:val="32"/>
          <w:lang w:val="zh-CN"/>
        </w:rPr>
        <w:t>16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11</w:t>
      </w:r>
      <w:r>
        <w:rPr>
          <w:rFonts w:hint="eastAsia" w:ascii="仿宋_GB2312" w:eastAsia="仿宋_GB2312"/>
          <w:sz w:val="32"/>
          <w:szCs w:val="32"/>
        </w:rPr>
        <w:t>人。</w:t>
      </w:r>
    </w:p>
    <w:p w14:paraId="7B05D37D">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个处室，分别是：办公室</w:t>
      </w:r>
      <w:r>
        <w:rPr>
          <w:rFonts w:hint="eastAsia" w:ascii="仿宋_GB2312" w:hAnsi="宋体" w:eastAsia="仿宋_GB2312" w:cs="宋体"/>
          <w:kern w:val="0"/>
          <w:sz w:val="32"/>
          <w:szCs w:val="32"/>
        </w:rPr>
        <w:t>。</w:t>
      </w:r>
    </w:p>
    <w:p w14:paraId="640E0A0A">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09A41EB1">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783A25D8">
      <w:pPr>
        <w:ind w:firstLine="640" w:firstLineChars="200"/>
        <w:jc w:val="left"/>
        <w:rPr>
          <w:rFonts w:ascii="仿宋_GB2312" w:eastAsia="仿宋_GB2312"/>
          <w:sz w:val="32"/>
          <w:szCs w:val="32"/>
        </w:rPr>
      </w:pPr>
      <w:r>
        <w:rPr>
          <w:rFonts w:hint="eastAsia" w:ascii="仿宋_GB2312" w:eastAsia="仿宋_GB2312"/>
          <w:sz w:val="32"/>
          <w:szCs w:val="32"/>
        </w:rPr>
        <w:t>2023年度收入总计600.41万元，其中：本年收入合计600.41万元，使用非财政拨款结余0.00万元，年初结转和结余0.00万元。</w:t>
      </w:r>
    </w:p>
    <w:p w14:paraId="69CABC7D">
      <w:pPr>
        <w:ind w:firstLine="640" w:firstLineChars="200"/>
        <w:jc w:val="left"/>
        <w:rPr>
          <w:rFonts w:ascii="仿宋_GB2312" w:eastAsia="仿宋_GB2312"/>
          <w:sz w:val="32"/>
          <w:szCs w:val="32"/>
        </w:rPr>
      </w:pPr>
      <w:r>
        <w:rPr>
          <w:rFonts w:hint="eastAsia" w:ascii="仿宋_GB2312" w:eastAsia="仿宋_GB2312"/>
          <w:sz w:val="32"/>
          <w:szCs w:val="32"/>
        </w:rPr>
        <w:t>2023年度支出总计600.41万元，其中：本年支出合计600.36万元，结余分配0.00万元，年末结转和结余0.05万元。</w:t>
      </w:r>
    </w:p>
    <w:p w14:paraId="21ADEC57">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减少39.74万元</w:t>
      </w:r>
      <w:r>
        <w:rPr>
          <w:rFonts w:hint="eastAsia" w:ascii="仿宋_GB2312" w:eastAsia="仿宋_GB2312"/>
          <w:sz w:val="32"/>
          <w:szCs w:val="32"/>
        </w:rPr>
        <w:t>，下降6.21%，主要原因是：本年单位人员减少，工资、津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人员经费减少。</w:t>
      </w:r>
    </w:p>
    <w:p w14:paraId="285092C9">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361BDFF1">
      <w:pPr>
        <w:ind w:firstLine="640" w:firstLineChars="200"/>
        <w:jc w:val="left"/>
        <w:rPr>
          <w:rFonts w:ascii="仿宋_GB2312" w:eastAsia="仿宋_GB2312"/>
          <w:sz w:val="32"/>
          <w:szCs w:val="32"/>
        </w:rPr>
      </w:pPr>
      <w:r>
        <w:rPr>
          <w:rFonts w:hint="eastAsia" w:ascii="仿宋_GB2312" w:eastAsia="仿宋_GB2312"/>
          <w:sz w:val="32"/>
          <w:szCs w:val="32"/>
        </w:rPr>
        <w:t>本年收入600.41万元，其中：财政拨款收入</w:t>
      </w:r>
      <w:r>
        <w:rPr>
          <w:rFonts w:hint="eastAsia" w:ascii="仿宋_GB2312" w:eastAsia="仿宋_GB2312"/>
          <w:sz w:val="32"/>
          <w:szCs w:val="32"/>
          <w:lang w:val="zh-CN"/>
        </w:rPr>
        <w:t>600.36</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0.05</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14:paraId="666AFFDC">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1E6768F">
      <w:pPr>
        <w:ind w:firstLine="640" w:firstLineChars="200"/>
        <w:jc w:val="left"/>
        <w:rPr>
          <w:rFonts w:ascii="仿宋_GB2312" w:eastAsia="仿宋_GB2312"/>
          <w:sz w:val="32"/>
          <w:szCs w:val="32"/>
        </w:rPr>
      </w:pPr>
      <w:r>
        <w:rPr>
          <w:rFonts w:hint="eastAsia" w:ascii="仿宋_GB2312" w:eastAsia="仿宋_GB2312"/>
          <w:sz w:val="32"/>
          <w:szCs w:val="32"/>
        </w:rPr>
        <w:t>本年支出600.36万元，其中：基本支出528.03万元，占87.95%；项目支出72.33万元，占12.05%；上缴上级支出0.00万元，占0.00%；经营支出0.00万元，占0.00%；对附属单位补助支出0.00万元，占0.00%。</w:t>
      </w:r>
    </w:p>
    <w:p w14:paraId="715F2B68">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6B111E5A">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600.36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600.36</w:t>
      </w:r>
      <w:r>
        <w:rPr>
          <w:rFonts w:hint="eastAsia" w:ascii="仿宋_GB2312" w:eastAsia="仿宋_GB2312"/>
          <w:sz w:val="32"/>
          <w:szCs w:val="32"/>
        </w:rPr>
        <w:t>万元。财政拨款支出总计</w:t>
      </w:r>
      <w:r>
        <w:rPr>
          <w:rFonts w:hint="eastAsia" w:ascii="仿宋_GB2312" w:eastAsia="仿宋_GB2312"/>
          <w:sz w:val="32"/>
          <w:szCs w:val="32"/>
          <w:lang w:val="zh-CN"/>
        </w:rPr>
        <w:t>600.36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600.36</w:t>
      </w:r>
      <w:r>
        <w:rPr>
          <w:rFonts w:hint="eastAsia" w:ascii="仿宋_GB2312" w:eastAsia="仿宋_GB2312"/>
          <w:sz w:val="32"/>
          <w:szCs w:val="32"/>
        </w:rPr>
        <w:t>万元。</w:t>
      </w:r>
    </w:p>
    <w:p w14:paraId="0AC6605B">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减少39.80万元</w:t>
      </w:r>
      <w:r>
        <w:rPr>
          <w:rFonts w:hint="eastAsia" w:ascii="仿宋_GB2312" w:eastAsia="仿宋_GB2312"/>
          <w:sz w:val="32"/>
          <w:szCs w:val="32"/>
        </w:rPr>
        <w:t>，下降6.22%,主要原因是：本年单位人员减少，工资、津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人员经费减少。与年初预算相比，年初预算数</w:t>
      </w:r>
      <w:r>
        <w:rPr>
          <w:rFonts w:hint="eastAsia" w:ascii="仿宋_GB2312" w:eastAsia="仿宋_GB2312"/>
          <w:sz w:val="32"/>
          <w:szCs w:val="32"/>
          <w:lang w:val="zh-CN"/>
        </w:rPr>
        <w:t>599.38</w:t>
      </w:r>
      <w:r>
        <w:rPr>
          <w:rFonts w:hint="eastAsia" w:ascii="仿宋_GB2312" w:eastAsia="仿宋_GB2312"/>
          <w:sz w:val="32"/>
          <w:szCs w:val="32"/>
        </w:rPr>
        <w:t>万元，决算数</w:t>
      </w:r>
      <w:r>
        <w:rPr>
          <w:rFonts w:hint="eastAsia" w:ascii="仿宋_GB2312" w:eastAsia="仿宋_GB2312"/>
          <w:sz w:val="32"/>
          <w:szCs w:val="32"/>
          <w:lang w:val="zh-CN"/>
        </w:rPr>
        <w:t>600.36</w:t>
      </w:r>
      <w:r>
        <w:rPr>
          <w:rFonts w:hint="eastAsia" w:ascii="仿宋_GB2312" w:eastAsia="仿宋_GB2312"/>
          <w:sz w:val="32"/>
          <w:szCs w:val="32"/>
        </w:rPr>
        <w:t>万元，预决算差异率0.16%，主要原因是：年中追加自治区第十届少数民族运动会奖励</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776B27B2">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64DED10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3069D17">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2023年度一般公共预算财政拨款支出581.25万元，占本年支出合计的</w:t>
      </w:r>
      <w:r>
        <w:rPr>
          <w:rFonts w:hint="eastAsia" w:ascii="仿宋_GB2312" w:eastAsia="仿宋_GB2312"/>
          <w:sz w:val="32"/>
          <w:szCs w:val="32"/>
          <w:lang w:val="zh-CN"/>
        </w:rPr>
        <w:t>96.82%</w:t>
      </w:r>
      <w:r>
        <w:rPr>
          <w:rFonts w:hint="eastAsia" w:ascii="仿宋_GB2312" w:eastAsia="仿宋_GB2312"/>
          <w:sz w:val="32"/>
          <w:szCs w:val="32"/>
        </w:rPr>
        <w:t>。与上年相比，</w:t>
      </w:r>
      <w:r>
        <w:rPr>
          <w:rFonts w:hint="eastAsia" w:ascii="仿宋_GB2312" w:eastAsia="仿宋_GB2312"/>
          <w:sz w:val="32"/>
          <w:szCs w:val="32"/>
          <w:lang w:val="zh-CN"/>
        </w:rPr>
        <w:t>减少43.06万元</w:t>
      </w:r>
      <w:r>
        <w:rPr>
          <w:rFonts w:hint="eastAsia" w:ascii="仿宋_GB2312" w:eastAsia="仿宋_GB2312"/>
          <w:sz w:val="32"/>
          <w:szCs w:val="32"/>
        </w:rPr>
        <w:t>，下降6.90%,主要原因是：本年单位人员减少，工资、津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人员经费减少。与年初预算相比，年初预算数</w:t>
      </w:r>
      <w:r>
        <w:rPr>
          <w:rFonts w:hint="eastAsia" w:ascii="仿宋_GB2312" w:eastAsia="仿宋_GB2312"/>
          <w:sz w:val="32"/>
          <w:szCs w:val="32"/>
          <w:lang w:val="zh-CN"/>
        </w:rPr>
        <w:t>599.38</w:t>
      </w:r>
      <w:r>
        <w:rPr>
          <w:rFonts w:hint="eastAsia" w:ascii="仿宋_GB2312" w:eastAsia="仿宋_GB2312"/>
          <w:sz w:val="32"/>
          <w:szCs w:val="32"/>
        </w:rPr>
        <w:t>万元，决算数</w:t>
      </w:r>
      <w:r>
        <w:rPr>
          <w:rFonts w:hint="eastAsia" w:ascii="仿宋_GB2312" w:eastAsia="仿宋_GB2312"/>
          <w:sz w:val="32"/>
          <w:szCs w:val="32"/>
          <w:lang w:val="zh-CN"/>
        </w:rPr>
        <w:t>581.25</w:t>
      </w:r>
      <w:r>
        <w:rPr>
          <w:rFonts w:hint="eastAsia" w:ascii="仿宋_GB2312" w:eastAsia="仿宋_GB2312"/>
          <w:sz w:val="32"/>
          <w:szCs w:val="32"/>
        </w:rPr>
        <w:t>万元，预决算差异率</w:t>
      </w:r>
      <w:r>
        <w:rPr>
          <w:rFonts w:hint="eastAsia" w:ascii="仿宋_GB2312" w:eastAsia="仿宋_GB2312"/>
          <w:sz w:val="32"/>
          <w:szCs w:val="32"/>
          <w:lang w:val="zh-CN"/>
        </w:rPr>
        <w:t>-3.02%</w:t>
      </w:r>
      <w:r>
        <w:rPr>
          <w:rFonts w:hint="eastAsia" w:ascii="仿宋_GB2312" w:eastAsia="仿宋_GB2312"/>
          <w:sz w:val="32"/>
          <w:szCs w:val="32"/>
        </w:rPr>
        <w:t>，主要原因是：本年</w:t>
      </w:r>
      <w:r>
        <w:rPr>
          <w:rFonts w:hint="eastAsia" w:ascii="仿宋_GB2312" w:eastAsia="仿宋_GB2312"/>
          <w:sz w:val="32"/>
          <w:szCs w:val="32"/>
          <w:lang w:val="en-US" w:eastAsia="zh-CN"/>
        </w:rPr>
        <w:t>单位人员减少，</w:t>
      </w:r>
      <w:r>
        <w:rPr>
          <w:rFonts w:hint="eastAsia" w:ascii="仿宋_GB2312" w:eastAsia="仿宋_GB2312"/>
          <w:sz w:val="32"/>
          <w:szCs w:val="32"/>
        </w:rPr>
        <w:t>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w:t>
      </w:r>
      <w:r>
        <w:rPr>
          <w:rFonts w:hint="eastAsia" w:ascii="仿宋_GB2312" w:eastAsia="仿宋_GB2312"/>
          <w:sz w:val="32"/>
          <w:szCs w:val="32"/>
          <w:lang w:val="en-US" w:eastAsia="zh-CN"/>
        </w:rPr>
        <w:t>较预算减少</w:t>
      </w:r>
      <w:r>
        <w:rPr>
          <w:rFonts w:hint="eastAsia" w:ascii="仿宋_GB2312" w:eastAsia="仿宋_GB2312"/>
          <w:sz w:val="32"/>
          <w:szCs w:val="32"/>
        </w:rPr>
        <w:t>。</w:t>
      </w:r>
    </w:p>
    <w:p w14:paraId="3FC54C21">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F06607D">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490.00</w:t>
      </w:r>
      <w:r>
        <w:rPr>
          <w:rFonts w:ascii="仿宋_GB2312" w:eastAsia="仿宋_GB2312"/>
          <w:kern w:val="2"/>
          <w:sz w:val="32"/>
          <w:szCs w:val="32"/>
          <w:lang w:val="zh-CN"/>
        </w:rPr>
        <w:t>万元，占</w:t>
      </w:r>
      <w:r>
        <w:rPr>
          <w:rFonts w:hint="eastAsia" w:ascii="仿宋_GB2312" w:eastAsia="仿宋_GB2312"/>
          <w:kern w:val="2"/>
          <w:sz w:val="32"/>
          <w:szCs w:val="32"/>
          <w:lang w:val="zh-CN"/>
        </w:rPr>
        <w:t>84.30</w:t>
      </w:r>
      <w:r>
        <w:rPr>
          <w:rFonts w:ascii="仿宋_GB2312" w:eastAsia="仿宋_GB2312"/>
          <w:kern w:val="2"/>
          <w:sz w:val="32"/>
          <w:szCs w:val="32"/>
          <w:lang w:val="zh-CN"/>
        </w:rPr>
        <w:t>%；</w:t>
      </w:r>
    </w:p>
    <w:p w14:paraId="02B04E5E">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2.文化旅游体育与传媒支出（类）</w:t>
      </w:r>
      <w:r>
        <w:rPr>
          <w:rFonts w:hint="eastAsia" w:ascii="仿宋_GB2312" w:eastAsia="仿宋_GB2312"/>
          <w:kern w:val="2"/>
          <w:sz w:val="32"/>
          <w:szCs w:val="32"/>
          <w:lang w:val="zh-CN"/>
        </w:rPr>
        <w:t>3.22</w:t>
      </w:r>
      <w:r>
        <w:rPr>
          <w:rFonts w:ascii="仿宋_GB2312" w:eastAsia="仿宋_GB2312"/>
          <w:kern w:val="2"/>
          <w:sz w:val="32"/>
          <w:szCs w:val="32"/>
          <w:lang w:val="zh-CN"/>
        </w:rPr>
        <w:t>万元，占</w:t>
      </w:r>
      <w:r>
        <w:rPr>
          <w:rFonts w:hint="eastAsia" w:ascii="仿宋_GB2312" w:eastAsia="仿宋_GB2312"/>
          <w:kern w:val="2"/>
          <w:sz w:val="32"/>
          <w:szCs w:val="32"/>
          <w:lang w:val="zh-CN"/>
        </w:rPr>
        <w:t>0.55</w:t>
      </w:r>
      <w:r>
        <w:rPr>
          <w:rFonts w:ascii="仿宋_GB2312" w:eastAsia="仿宋_GB2312"/>
          <w:kern w:val="2"/>
          <w:sz w:val="32"/>
          <w:szCs w:val="32"/>
          <w:lang w:val="zh-CN"/>
        </w:rPr>
        <w:t>%；</w:t>
      </w:r>
    </w:p>
    <w:p w14:paraId="40BB0D0B">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3.社会保障和就业支出（类）</w:t>
      </w:r>
      <w:r>
        <w:rPr>
          <w:rFonts w:hint="eastAsia" w:ascii="仿宋_GB2312" w:eastAsia="仿宋_GB2312"/>
          <w:kern w:val="2"/>
          <w:sz w:val="32"/>
          <w:szCs w:val="32"/>
          <w:lang w:val="zh-CN"/>
        </w:rPr>
        <w:t>46.22</w:t>
      </w:r>
      <w:r>
        <w:rPr>
          <w:rFonts w:ascii="仿宋_GB2312" w:eastAsia="仿宋_GB2312"/>
          <w:kern w:val="2"/>
          <w:sz w:val="32"/>
          <w:szCs w:val="32"/>
          <w:lang w:val="zh-CN"/>
        </w:rPr>
        <w:t>万元，占</w:t>
      </w:r>
      <w:r>
        <w:rPr>
          <w:rFonts w:hint="eastAsia" w:ascii="仿宋_GB2312" w:eastAsia="仿宋_GB2312"/>
          <w:kern w:val="2"/>
          <w:sz w:val="32"/>
          <w:szCs w:val="32"/>
          <w:lang w:val="zh-CN"/>
        </w:rPr>
        <w:t>7.95</w:t>
      </w:r>
      <w:r>
        <w:rPr>
          <w:rFonts w:ascii="仿宋_GB2312" w:eastAsia="仿宋_GB2312"/>
          <w:kern w:val="2"/>
          <w:sz w:val="32"/>
          <w:szCs w:val="32"/>
          <w:lang w:val="zh-CN"/>
        </w:rPr>
        <w:t>%；</w:t>
      </w:r>
    </w:p>
    <w:p w14:paraId="62F02EDF">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4.农林水支出（类）</w:t>
      </w:r>
      <w:r>
        <w:rPr>
          <w:rFonts w:hint="eastAsia" w:ascii="仿宋_GB2312" w:eastAsia="仿宋_GB2312"/>
          <w:kern w:val="2"/>
          <w:sz w:val="32"/>
          <w:szCs w:val="32"/>
          <w:lang w:val="zh-CN"/>
        </w:rPr>
        <w:t>10.00</w:t>
      </w:r>
      <w:r>
        <w:rPr>
          <w:rFonts w:ascii="仿宋_GB2312" w:eastAsia="仿宋_GB2312"/>
          <w:kern w:val="2"/>
          <w:sz w:val="32"/>
          <w:szCs w:val="32"/>
          <w:lang w:val="zh-CN"/>
        </w:rPr>
        <w:t>万元，占</w:t>
      </w:r>
      <w:r>
        <w:rPr>
          <w:rFonts w:hint="eastAsia" w:ascii="仿宋_GB2312" w:eastAsia="仿宋_GB2312"/>
          <w:kern w:val="2"/>
          <w:sz w:val="32"/>
          <w:szCs w:val="32"/>
          <w:lang w:val="zh-CN"/>
        </w:rPr>
        <w:t>1.72</w:t>
      </w:r>
      <w:r>
        <w:rPr>
          <w:rFonts w:ascii="仿宋_GB2312" w:eastAsia="仿宋_GB2312"/>
          <w:kern w:val="2"/>
          <w:sz w:val="32"/>
          <w:szCs w:val="32"/>
          <w:lang w:val="zh-CN"/>
        </w:rPr>
        <w:t>%；</w:t>
      </w:r>
    </w:p>
    <w:p w14:paraId="3343039E">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5.住房保障支出（类）</w:t>
      </w:r>
      <w:r>
        <w:rPr>
          <w:rFonts w:hint="eastAsia" w:ascii="仿宋_GB2312" w:eastAsia="仿宋_GB2312"/>
          <w:kern w:val="2"/>
          <w:sz w:val="32"/>
          <w:szCs w:val="32"/>
          <w:lang w:val="zh-CN"/>
        </w:rPr>
        <w:t>21.99</w:t>
      </w:r>
      <w:r>
        <w:rPr>
          <w:rFonts w:ascii="仿宋_GB2312" w:eastAsia="仿宋_GB2312"/>
          <w:kern w:val="2"/>
          <w:sz w:val="32"/>
          <w:szCs w:val="32"/>
          <w:lang w:val="zh-CN"/>
        </w:rPr>
        <w:t>万元，占</w:t>
      </w:r>
      <w:r>
        <w:rPr>
          <w:rFonts w:hint="eastAsia" w:ascii="仿宋_GB2312" w:eastAsia="仿宋_GB2312"/>
          <w:kern w:val="2"/>
          <w:sz w:val="32"/>
          <w:szCs w:val="32"/>
          <w:lang w:val="zh-CN"/>
        </w:rPr>
        <w:t>3.78</w:t>
      </w:r>
      <w:r>
        <w:rPr>
          <w:rFonts w:ascii="仿宋_GB2312" w:eastAsia="仿宋_GB2312"/>
          <w:kern w:val="2"/>
          <w:sz w:val="32"/>
          <w:szCs w:val="32"/>
          <w:lang w:val="zh-CN"/>
        </w:rPr>
        <w:t>%；</w:t>
      </w:r>
    </w:p>
    <w:p w14:paraId="2CEE9FBD">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6.其他支出（类）</w:t>
      </w:r>
      <w:r>
        <w:rPr>
          <w:rFonts w:hint="eastAsia" w:ascii="仿宋_GB2312" w:eastAsia="仿宋_GB2312"/>
          <w:kern w:val="2"/>
          <w:sz w:val="32"/>
          <w:szCs w:val="32"/>
          <w:lang w:val="zh-CN"/>
        </w:rPr>
        <w:t>9.82</w:t>
      </w:r>
      <w:r>
        <w:rPr>
          <w:rFonts w:ascii="仿宋_GB2312" w:eastAsia="仿宋_GB2312"/>
          <w:kern w:val="2"/>
          <w:sz w:val="32"/>
          <w:szCs w:val="32"/>
          <w:lang w:val="zh-CN"/>
        </w:rPr>
        <w:t>万元，占</w:t>
      </w:r>
      <w:r>
        <w:rPr>
          <w:rFonts w:hint="eastAsia" w:ascii="仿宋_GB2312" w:eastAsia="仿宋_GB2312"/>
          <w:kern w:val="2"/>
          <w:sz w:val="32"/>
          <w:szCs w:val="32"/>
          <w:lang w:val="zh-CN"/>
        </w:rPr>
        <w:t>1.69</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5972D93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6051995">
      <w:pPr>
        <w:ind w:firstLine="640" w:firstLineChars="200"/>
        <w:rPr>
          <w:rFonts w:ascii="仿宋_GB2312" w:eastAsia="仿宋_GB2312"/>
          <w:sz w:val="32"/>
          <w:szCs w:val="32"/>
          <w:lang w:val="zh-CN"/>
        </w:rPr>
      </w:pPr>
      <w:r>
        <w:rPr>
          <w:rFonts w:hint="eastAsia" w:ascii="仿宋_GB2312" w:eastAsia="仿宋_GB2312"/>
          <w:sz w:val="32"/>
          <w:szCs w:val="32"/>
        </w:rPr>
        <w:t>1.文化旅游体育与传媒支出（类）体育（款）其他体育支出（项）:支出决算数为3.22万元，比上年决算增加3.22万元，增长100%，主要原因是：本年新增</w:t>
      </w:r>
      <w:r>
        <w:rPr>
          <w:rFonts w:hint="eastAsia" w:ascii="仿宋_GB2312" w:eastAsia="仿宋_GB2312"/>
          <w:sz w:val="32"/>
          <w:szCs w:val="32"/>
          <w:lang w:val="zh-CN"/>
        </w:rPr>
        <w:t>少数民族传统体育运动会项目资金。</w:t>
      </w:r>
    </w:p>
    <w:p w14:paraId="2CB33ED9">
      <w:pPr>
        <w:ind w:firstLine="640" w:firstLineChars="200"/>
        <w:rPr>
          <w:rFonts w:ascii="仿宋_GB2312" w:eastAsia="仿宋_GB2312"/>
          <w:sz w:val="32"/>
          <w:szCs w:val="32"/>
          <w:lang w:val="zh-CN"/>
        </w:rPr>
      </w:pPr>
      <w:r>
        <w:rPr>
          <w:rFonts w:hint="eastAsia" w:ascii="仿宋_GB2312" w:eastAsia="仿宋_GB2312"/>
          <w:sz w:val="32"/>
          <w:szCs w:val="32"/>
        </w:rPr>
        <w:t>2.一般公共服务支出（类）统战事务（款）宗教事务（项）:支出决算数为83.15万元，比上年决算增加83.15万元，增长100%，主要原因是：本年新增</w:t>
      </w:r>
      <w:r>
        <w:rPr>
          <w:rFonts w:hint="eastAsia" w:ascii="仿宋_GB2312" w:eastAsia="仿宋_GB2312"/>
          <w:sz w:val="32"/>
          <w:szCs w:val="32"/>
          <w:lang w:val="zh-CN"/>
        </w:rPr>
        <w:t>自治区宗教场所</w:t>
      </w:r>
      <w:r>
        <w:rPr>
          <w:rFonts w:hint="eastAsia" w:ascii="仿宋_GB2312" w:eastAsia="仿宋_GB2312"/>
          <w:sz w:val="32"/>
          <w:szCs w:val="32"/>
          <w:lang w:val="en-US" w:eastAsia="zh-CN"/>
        </w:rPr>
        <w:t>维修</w:t>
      </w:r>
      <w:r>
        <w:rPr>
          <w:rFonts w:hint="eastAsia" w:ascii="仿宋_GB2312" w:eastAsia="仿宋_GB2312"/>
          <w:sz w:val="32"/>
          <w:szCs w:val="32"/>
          <w:lang w:val="zh-CN"/>
        </w:rPr>
        <w:t>修缮</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p>
    <w:p w14:paraId="737EDCE0">
      <w:pPr>
        <w:ind w:firstLine="640" w:firstLineChars="200"/>
        <w:rPr>
          <w:rFonts w:ascii="仿宋_GB2312" w:eastAsia="仿宋_GB2312"/>
          <w:sz w:val="32"/>
          <w:szCs w:val="32"/>
          <w:lang w:val="zh-CN"/>
        </w:rPr>
      </w:pPr>
      <w:r>
        <w:rPr>
          <w:rFonts w:hint="eastAsia" w:ascii="仿宋_GB2312" w:eastAsia="仿宋_GB2312"/>
          <w:sz w:val="32"/>
          <w:szCs w:val="32"/>
        </w:rPr>
        <w:t>3.农林水支出（类）巩固脱贫攻坚成果衔接乡村振兴（款）生产发展（项）:支出决算数为10.00万元，比上年决算增加1.71万元，增长20.63%，主要原因是：本年</w:t>
      </w:r>
      <w:r>
        <w:rPr>
          <w:rFonts w:hint="eastAsia" w:ascii="仿宋_GB2312" w:eastAsia="仿宋_GB2312"/>
          <w:sz w:val="32"/>
          <w:szCs w:val="32"/>
          <w:lang w:val="zh-CN"/>
        </w:rPr>
        <w:t>低氟边销茶入户项目经费较上年增加。</w:t>
      </w:r>
    </w:p>
    <w:p w14:paraId="64EC799B">
      <w:pPr>
        <w:ind w:firstLine="640" w:firstLineChars="200"/>
        <w:rPr>
          <w:rFonts w:ascii="仿宋_GB2312" w:eastAsia="仿宋_GB2312"/>
          <w:sz w:val="32"/>
          <w:szCs w:val="32"/>
          <w:lang w:val="zh-CN"/>
        </w:rPr>
      </w:pPr>
      <w:r>
        <w:rPr>
          <w:rFonts w:hint="eastAsia" w:ascii="仿宋_GB2312" w:eastAsia="仿宋_GB2312"/>
          <w:sz w:val="32"/>
          <w:szCs w:val="32"/>
        </w:rPr>
        <w:t>4.住房保障支出（类）住房改革支出（款）住房公积金（项）:支出决算数为21.99万元，比上年决算减少1.86万元，下降7.80%，主要原因是：单位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人员减少，人员住房公积金缴费减少</w:t>
      </w:r>
      <w:r>
        <w:rPr>
          <w:rFonts w:hint="eastAsia" w:ascii="仿宋_GB2312" w:eastAsia="仿宋_GB2312"/>
          <w:sz w:val="32"/>
          <w:szCs w:val="32"/>
          <w:lang w:val="zh-CN"/>
        </w:rPr>
        <w:t>。</w:t>
      </w:r>
    </w:p>
    <w:p w14:paraId="5F020F71">
      <w:pPr>
        <w:ind w:firstLine="640" w:firstLineChars="200"/>
        <w:rPr>
          <w:rFonts w:ascii="仿宋_GB2312" w:eastAsia="仿宋_GB2312"/>
          <w:sz w:val="32"/>
          <w:szCs w:val="32"/>
          <w:lang w:val="zh-CN"/>
        </w:rPr>
      </w:pPr>
      <w:r>
        <w:rPr>
          <w:rFonts w:hint="eastAsia" w:ascii="仿宋_GB2312" w:eastAsia="仿宋_GB2312"/>
          <w:sz w:val="32"/>
          <w:szCs w:val="32"/>
        </w:rPr>
        <w:t>5.社会保障和就业支出（类）行政事业单位养老支出（款）行政单位离退休（项）:支出决算数为3.02万元，比上年决算增加1.82万元，增长151.67%，主要原因是：单位退休人员增加，退休人员取暖费、独生子女奖励金等增加</w:t>
      </w:r>
      <w:r>
        <w:rPr>
          <w:rFonts w:hint="eastAsia" w:ascii="仿宋_GB2312" w:eastAsia="仿宋_GB2312"/>
          <w:sz w:val="32"/>
          <w:szCs w:val="32"/>
          <w:lang w:val="zh-CN"/>
        </w:rPr>
        <w:t>。</w:t>
      </w:r>
    </w:p>
    <w:p w14:paraId="6D173D9C">
      <w:pPr>
        <w:ind w:firstLine="640" w:firstLineChars="200"/>
        <w:rPr>
          <w:rFonts w:ascii="仿宋_GB2312" w:eastAsia="仿宋_GB2312"/>
          <w:sz w:val="32"/>
          <w:szCs w:val="32"/>
          <w:lang w:val="zh-CN"/>
        </w:rPr>
      </w:pPr>
      <w:r>
        <w:rPr>
          <w:rFonts w:hint="eastAsia" w:ascii="仿宋_GB2312" w:eastAsia="仿宋_GB2312"/>
          <w:sz w:val="32"/>
          <w:szCs w:val="32"/>
        </w:rPr>
        <w:t>6.一般公共服务支出（类）统战事务（款）其他统战事务支出（项）:支出决算数为109.70万元，比上年决算增加91.70万元，增长509.44%，主要原因是：本年增加驻村管</w:t>
      </w:r>
      <w:r>
        <w:rPr>
          <w:rFonts w:hint="eastAsia" w:ascii="仿宋_GB2312" w:eastAsia="仿宋_GB2312"/>
          <w:sz w:val="32"/>
          <w:szCs w:val="32"/>
          <w:lang w:val="en-US" w:eastAsia="zh-CN"/>
        </w:rPr>
        <w:t>委会人员个人补助项目</w:t>
      </w:r>
      <w:r>
        <w:rPr>
          <w:rFonts w:hint="eastAsia" w:ascii="仿宋_GB2312" w:eastAsia="仿宋_GB2312"/>
          <w:sz w:val="32"/>
          <w:szCs w:val="32"/>
        </w:rPr>
        <w:t>经费</w:t>
      </w:r>
      <w:r>
        <w:rPr>
          <w:rFonts w:hint="eastAsia" w:ascii="仿宋_GB2312" w:eastAsia="仿宋_GB2312"/>
          <w:sz w:val="32"/>
          <w:szCs w:val="32"/>
          <w:lang w:val="zh-CN"/>
        </w:rPr>
        <w:t>。</w:t>
      </w:r>
    </w:p>
    <w:p w14:paraId="2FA38887">
      <w:pPr>
        <w:ind w:firstLine="640" w:firstLineChars="200"/>
        <w:rPr>
          <w:rFonts w:ascii="仿宋_GB2312" w:eastAsia="仿宋_GB2312"/>
          <w:sz w:val="32"/>
          <w:szCs w:val="32"/>
          <w:lang w:val="zh-CN"/>
        </w:rPr>
      </w:pPr>
      <w:r>
        <w:rPr>
          <w:rFonts w:hint="eastAsia" w:ascii="仿宋_GB2312" w:eastAsia="仿宋_GB2312"/>
          <w:sz w:val="32"/>
          <w:szCs w:val="32"/>
        </w:rPr>
        <w:t>7.社会保障和就业支出（类）行政事业单位养老支出（款）机关事业单位职业年金缴费支出（项）:支出决算数为14.15万元，比上年决算增加6.85万元，增长93.84%，主要原因是：单位退休人员增加，人员职业年金缴费增加</w:t>
      </w:r>
      <w:r>
        <w:rPr>
          <w:rFonts w:hint="eastAsia" w:ascii="仿宋_GB2312" w:eastAsia="仿宋_GB2312"/>
          <w:sz w:val="32"/>
          <w:szCs w:val="32"/>
          <w:lang w:val="zh-CN"/>
        </w:rPr>
        <w:t>。</w:t>
      </w:r>
    </w:p>
    <w:p w14:paraId="2FB96A73">
      <w:pPr>
        <w:ind w:firstLine="640" w:firstLineChars="200"/>
        <w:rPr>
          <w:rFonts w:ascii="仿宋_GB2312" w:eastAsia="仿宋_GB2312"/>
          <w:sz w:val="32"/>
          <w:szCs w:val="32"/>
          <w:lang w:val="zh-CN"/>
        </w:rPr>
      </w:pPr>
      <w:r>
        <w:rPr>
          <w:rFonts w:hint="eastAsia" w:ascii="仿宋_GB2312" w:eastAsia="仿宋_GB2312"/>
          <w:sz w:val="32"/>
          <w:szCs w:val="32"/>
        </w:rPr>
        <w:t>8.其他支出（类）其他支出（款）其他支出（项）:支出决算数为9.82万元，比上年决算增加8.30万元，增长546.05%，主要原因是：本年单位增加为民办实事工作</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val="zh-CN"/>
        </w:rPr>
        <w:t>。</w:t>
      </w:r>
    </w:p>
    <w:p w14:paraId="77359B96">
      <w:pPr>
        <w:ind w:firstLine="640" w:firstLineChars="200"/>
        <w:rPr>
          <w:rFonts w:ascii="仿宋_GB2312" w:eastAsia="仿宋_GB2312"/>
          <w:sz w:val="32"/>
          <w:szCs w:val="32"/>
          <w:lang w:val="zh-CN"/>
        </w:rPr>
      </w:pPr>
      <w:r>
        <w:rPr>
          <w:rFonts w:hint="eastAsia" w:ascii="仿宋_GB2312" w:eastAsia="仿宋_GB2312"/>
          <w:sz w:val="32"/>
          <w:szCs w:val="32"/>
        </w:rPr>
        <w:t>9.一般公共服务支出（类）统战事务（款）行政运行（项）:支出决算数为297.15万元，比上年决算减少237.19万元，下降44.39%，主要原因是：本年单位人员减少，人员工资、津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人员经费减少</w:t>
      </w:r>
      <w:r>
        <w:rPr>
          <w:rFonts w:hint="eastAsia" w:ascii="仿宋_GB2312" w:eastAsia="仿宋_GB2312"/>
          <w:sz w:val="32"/>
          <w:szCs w:val="32"/>
          <w:lang w:val="zh-CN"/>
        </w:rPr>
        <w:t>。</w:t>
      </w:r>
    </w:p>
    <w:p w14:paraId="5E9EB337">
      <w:pPr>
        <w:ind w:firstLine="640" w:firstLineChars="200"/>
        <w:rPr>
          <w:rFonts w:ascii="仿宋_GB2312" w:eastAsia="仿宋_GB2312"/>
          <w:sz w:val="32"/>
          <w:szCs w:val="32"/>
          <w:lang w:val="zh-CN"/>
        </w:rPr>
      </w:pPr>
      <w:r>
        <w:rPr>
          <w:rFonts w:hint="eastAsia" w:ascii="仿宋_GB2312" w:eastAsia="仿宋_GB2312"/>
          <w:sz w:val="32"/>
          <w:szCs w:val="32"/>
        </w:rPr>
        <w:t>10.社会保障和就业支出（类）行政事业单位养老支出（款）机关事业单位基本养老保险缴费支出（项）:支出决算数为29.05万元，比上年决算减少0.77万元，下降2.58%，主要原因是：单位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人员减少，人员养老保险缴费减少</w:t>
      </w:r>
      <w:r>
        <w:rPr>
          <w:rFonts w:hint="eastAsia" w:ascii="仿宋_GB2312" w:eastAsia="仿宋_GB2312"/>
          <w:sz w:val="32"/>
          <w:szCs w:val="32"/>
          <w:lang w:val="zh-CN"/>
        </w:rPr>
        <w:t>。</w:t>
      </w:r>
    </w:p>
    <w:p w14:paraId="094E2A3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6B61C4E">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528.03万元，其中：人员经费468.44万元，包括：基本工资、津贴补贴、奖金、机关事业单位基本养老保险缴费、职业年金缴费、职工基本医疗保险缴费、公务员医疗补助缴费、其他社会保障缴费、住房公积金、退休费、生活补助、奖励金、其他对个人和家庭的补助。</w:t>
      </w:r>
    </w:p>
    <w:p w14:paraId="6368A923">
      <w:pPr>
        <w:ind w:firstLine="640" w:firstLineChars="200"/>
        <w:jc w:val="left"/>
        <w:rPr>
          <w:rFonts w:ascii="仿宋_GB2312" w:eastAsia="仿宋_GB2312"/>
          <w:sz w:val="32"/>
          <w:szCs w:val="32"/>
        </w:rPr>
      </w:pPr>
      <w:r>
        <w:rPr>
          <w:rFonts w:hint="eastAsia" w:ascii="仿宋_GB2312" w:eastAsia="仿宋_GB2312"/>
          <w:sz w:val="32"/>
          <w:szCs w:val="32"/>
        </w:rPr>
        <w:t>公用经费59.59万元，包括：办公费、水费、电费、邮电费、取暖费、差旅费、会议费、培训费、公务接待费、劳务费、工会经费、公务用车运行维护费、其他交通费用、其他商品和服务支出。</w:t>
      </w:r>
    </w:p>
    <w:p w14:paraId="412D848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A41D63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“三公”经费支出2.80万元，</w:t>
      </w:r>
      <w:r>
        <w:rPr>
          <w:rFonts w:hint="eastAsia" w:ascii="仿宋_GB2312" w:eastAsia="仿宋_GB2312"/>
          <w:sz w:val="32"/>
          <w:szCs w:val="32"/>
        </w:rPr>
        <w:t>比上年</w:t>
      </w:r>
      <w:r>
        <w:rPr>
          <w:rFonts w:hint="eastAsia" w:ascii="仿宋_GB2312" w:eastAsia="仿宋_GB2312"/>
          <w:sz w:val="32"/>
          <w:szCs w:val="32"/>
          <w:lang w:val="zh-CN"/>
        </w:rPr>
        <w:t>增加0.36万元，</w:t>
      </w:r>
      <w:r>
        <w:rPr>
          <w:rFonts w:hint="eastAsia" w:ascii="仿宋_GB2312" w:eastAsia="仿宋_GB2312"/>
          <w:sz w:val="32"/>
          <w:szCs w:val="32"/>
        </w:rPr>
        <w:t>增长14.29%,</w:t>
      </w:r>
      <w:r>
        <w:rPr>
          <w:rFonts w:hint="eastAsia" w:ascii="仿宋_GB2312" w:eastAsia="仿宋_GB2312"/>
          <w:sz w:val="32"/>
          <w:szCs w:val="32"/>
          <w:lang w:val="zh-CN"/>
        </w:rPr>
        <w:t>主要原因是：本年接待安排增加，接待人次、批次增加，接待费用增加。其中：因公出国（境）费支出0.00万元，占0.00%，比上年增加0.00万元，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主要原因是：本年无此项经费；公务用车购置及运行维护费支出2.42万元，占86.43%，比上年减少0.03万元，</w:t>
      </w:r>
      <w:r>
        <w:rPr>
          <w:rFonts w:hint="eastAsia" w:ascii="仿宋_GB2312" w:eastAsia="仿宋_GB2312"/>
          <w:sz w:val="32"/>
          <w:szCs w:val="32"/>
        </w:rPr>
        <w:t>下降1.22%,</w:t>
      </w:r>
      <w:r>
        <w:rPr>
          <w:rFonts w:hint="eastAsia" w:ascii="仿宋_GB2312" w:eastAsia="仿宋_GB2312"/>
          <w:sz w:val="32"/>
          <w:szCs w:val="32"/>
          <w:lang w:val="zh-CN"/>
        </w:rPr>
        <w:t>主要原因是：</w:t>
      </w:r>
      <w:r>
        <w:rPr>
          <w:rFonts w:hint="eastAsia" w:ascii="仿宋_GB2312" w:hAnsi="仿宋_GB2312" w:eastAsia="仿宋_GB2312" w:cs="仿宋_GB2312"/>
          <w:sz w:val="32"/>
          <w:szCs w:val="32"/>
          <w:lang w:val="en-US" w:eastAsia="zh-CN"/>
        </w:rPr>
        <w:t>车辆</w:t>
      </w:r>
      <w:r>
        <w:rPr>
          <w:rFonts w:hint="eastAsia" w:ascii="仿宋_GB2312" w:hAnsi="仿宋_GB2312" w:eastAsia="仿宋_GB2312" w:cs="仿宋_GB2312"/>
          <w:sz w:val="32"/>
          <w:szCs w:val="32"/>
          <w:lang w:val="zh-CN"/>
        </w:rPr>
        <w:t>出行次数减少，</w:t>
      </w:r>
      <w:r>
        <w:rPr>
          <w:rFonts w:hint="eastAsia" w:ascii="仿宋_GB2312" w:hAnsi="仿宋_GB2312" w:eastAsia="仿宋_GB2312" w:cs="仿宋_GB2312"/>
          <w:sz w:val="32"/>
          <w:szCs w:val="32"/>
          <w:lang w:val="en-US" w:eastAsia="zh-CN"/>
        </w:rPr>
        <w:t>车辆</w:t>
      </w:r>
      <w:r>
        <w:rPr>
          <w:rFonts w:hint="eastAsia" w:ascii="仿宋_GB2312" w:hAnsi="仿宋_GB2312" w:eastAsia="仿宋_GB2312" w:cs="仿宋_GB2312"/>
          <w:sz w:val="32"/>
          <w:szCs w:val="32"/>
          <w:lang w:val="zh-CN"/>
        </w:rPr>
        <w:t>燃油费、</w:t>
      </w:r>
      <w:r>
        <w:rPr>
          <w:rFonts w:hint="eastAsia" w:ascii="仿宋_GB2312" w:hAnsi="仿宋_GB2312" w:eastAsia="仿宋_GB2312" w:cs="仿宋_GB2312"/>
          <w:sz w:val="32"/>
          <w:szCs w:val="32"/>
          <w:lang w:val="en-US" w:eastAsia="zh-CN"/>
        </w:rPr>
        <w:t>运行费</w:t>
      </w:r>
      <w:r>
        <w:rPr>
          <w:rFonts w:hint="eastAsia" w:ascii="仿宋_GB2312" w:hAnsi="仿宋_GB2312" w:eastAsia="仿宋_GB2312" w:cs="仿宋_GB2312"/>
          <w:sz w:val="32"/>
          <w:szCs w:val="32"/>
          <w:lang w:val="zh-CN"/>
        </w:rPr>
        <w:t>减少</w:t>
      </w:r>
      <w:r>
        <w:rPr>
          <w:rFonts w:hint="eastAsia" w:ascii="仿宋_GB2312" w:eastAsia="仿宋_GB2312"/>
          <w:sz w:val="32"/>
          <w:szCs w:val="32"/>
          <w:lang w:val="zh-CN"/>
        </w:rPr>
        <w:t>；公务接待费支出0.39万元，占13.93%，比上年增加0.39万元，</w:t>
      </w:r>
      <w:r>
        <w:rPr>
          <w:rFonts w:hint="eastAsia" w:ascii="仿宋_GB2312" w:eastAsia="仿宋_GB2312"/>
          <w:sz w:val="32"/>
          <w:szCs w:val="32"/>
        </w:rPr>
        <w:t>增长100.00%,</w:t>
      </w:r>
      <w:r>
        <w:rPr>
          <w:rFonts w:hint="eastAsia" w:ascii="仿宋_GB2312" w:eastAsia="仿宋_GB2312"/>
          <w:sz w:val="32"/>
          <w:szCs w:val="32"/>
          <w:lang w:val="zh-CN"/>
        </w:rPr>
        <w:t>主要原因是：本年接待安排增加，接待人次、批次增加，接待费用增加。</w:t>
      </w:r>
    </w:p>
    <w:p w14:paraId="1AC46F3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CEAC23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552A2EF1">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公务用车购置及运行维护费2.42万元，其中：公务用车购置费0.00万元，公务用车运行维护费2.42万元。公务用车运行维护费开支内容包括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。公务用车购置数0辆，公务用车保有量3辆。国有资产占用情况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bookmarkStart w:id="18" w:name="_Hlk181961318"/>
      <w:r>
        <w:rPr>
          <w:rFonts w:hint="eastAsia" w:ascii="仿宋_GB2312" w:eastAsia="仿宋_GB2312"/>
          <w:sz w:val="32"/>
          <w:szCs w:val="32"/>
          <w:lang w:val="zh-CN"/>
        </w:rPr>
        <w:t>国有资产车辆与公务用车保有量无差异</w:t>
      </w:r>
      <w:bookmarkEnd w:id="18"/>
      <w:r>
        <w:rPr>
          <w:rFonts w:hint="eastAsia" w:ascii="仿宋_GB2312" w:eastAsia="仿宋_GB2312"/>
          <w:sz w:val="32"/>
          <w:szCs w:val="32"/>
          <w:lang w:val="zh-CN"/>
        </w:rPr>
        <w:t>。</w:t>
      </w:r>
    </w:p>
    <w:p w14:paraId="4E57C7C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公务接待费0.39万元，开支内容包括餐费、住宿费等。单位全年安排的国内公务接待3批次，50人次。</w:t>
      </w:r>
    </w:p>
    <w:p w14:paraId="1897797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预算数2.80万元，决算数2.80万元，预决算差异率0.00%，主要原因是：本年严格按年初预算执行“三公”经费，预决算对比无差异。其中：因公出国（境）费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预算数2.42万元，决算数2.42万元，预决算差异率0.00%，主要原因是：本年严格按年初预算执行“三公”经费，预决算对比无差异；公务接待费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预算数0.39万元，决算数0.39万元，预决算差异率0.00%，主要原因是：本年严格按年初预算执行“三公”经费，预决算对比无差异。</w:t>
      </w:r>
    </w:p>
    <w:p w14:paraId="061C1DE8">
      <w:pPr>
        <w:ind w:firstLine="640" w:firstLineChars="200"/>
        <w:jc w:val="left"/>
        <w:outlineLvl w:val="1"/>
        <w:rPr>
          <w:rFonts w:hint="eastAsia" w:ascii="黑体" w:hAnsi="黑体" w:eastAsia="黑体" w:cs="宋体"/>
          <w:bCs/>
          <w:kern w:val="0"/>
          <w:sz w:val="32"/>
          <w:szCs w:val="32"/>
        </w:rPr>
      </w:pPr>
      <w:bookmarkStart w:id="19" w:name="_Toc7927"/>
      <w:bookmarkStart w:id="20" w:name="_Toc5810"/>
      <w:r>
        <w:rPr>
          <w:rFonts w:hint="eastAsia" w:ascii="黑体" w:hAnsi="黑体" w:eastAsia="黑体" w:cs="宋体"/>
          <w:bCs/>
          <w:kern w:val="0"/>
          <w:sz w:val="32"/>
          <w:szCs w:val="32"/>
        </w:rPr>
        <w:t>八、政府性基金预算财政拨款收入支出决算情况说明</w:t>
      </w:r>
      <w:bookmarkEnd w:id="19"/>
      <w:bookmarkEnd w:id="20"/>
    </w:p>
    <w:p w14:paraId="7FB405E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2023年度政府性基金预算财政拨款收入总计19.11万元，其中：年初结转和结余0.00万元，本年收入19.11万元。政府性基金预算财政拨款支出总计19.11万元，其中：年末结转和结余0.00万元，本年支出19.11万元。</w:t>
      </w:r>
    </w:p>
    <w:p w14:paraId="38543B3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政府性基金预算财政拨款收入支出与上年相比，增加3.26万元,增长20.57%,主要原因是：本年增加自治区第十届少数民族运动会奖励</w:t>
      </w:r>
      <w:r>
        <w:rPr>
          <w:rFonts w:hint="eastAsia" w:ascii="仿宋_GB2312" w:eastAsia="仿宋_GB2312"/>
          <w:sz w:val="32"/>
          <w:szCs w:val="32"/>
          <w:lang w:val="en-US" w:eastAsia="zh-CN"/>
        </w:rPr>
        <w:t>项目</w:t>
      </w:r>
      <w:r>
        <w:rPr>
          <w:rFonts w:hint="eastAsia" w:ascii="仿宋_GB2312" w:eastAsia="仿宋_GB2312"/>
          <w:sz w:val="32"/>
          <w:szCs w:val="32"/>
          <w:lang w:val="zh-CN"/>
        </w:rPr>
        <w:t>资金。与年初预算相比,年初预算数0.00万元，决算数19.11万元，预决算差异率1</w:t>
      </w:r>
      <w:r>
        <w:rPr>
          <w:rFonts w:ascii="仿宋_GB2312" w:eastAsia="仿宋_GB2312"/>
          <w:sz w:val="32"/>
          <w:szCs w:val="32"/>
          <w:lang w:val="zh-CN"/>
        </w:rPr>
        <w:t>0</w:t>
      </w:r>
      <w:r>
        <w:rPr>
          <w:rFonts w:hint="eastAsia" w:ascii="仿宋_GB2312" w:eastAsia="仿宋_GB2312"/>
          <w:sz w:val="32"/>
          <w:szCs w:val="32"/>
          <w:lang w:val="zh-CN"/>
        </w:rPr>
        <w:t>0.00%，主要原因是：年中追加自治区第十届少数民族运动会奖励</w:t>
      </w:r>
      <w:r>
        <w:rPr>
          <w:rFonts w:hint="eastAsia" w:ascii="仿宋_GB2312" w:eastAsia="仿宋_GB2312"/>
          <w:sz w:val="32"/>
          <w:szCs w:val="32"/>
          <w:lang w:val="en-US" w:eastAsia="zh-CN"/>
        </w:rPr>
        <w:t>项目</w:t>
      </w:r>
      <w:r>
        <w:rPr>
          <w:rFonts w:hint="eastAsia" w:ascii="仿宋_GB2312" w:eastAsia="仿宋_GB2312"/>
          <w:sz w:val="32"/>
          <w:szCs w:val="32"/>
          <w:lang w:val="zh-CN"/>
        </w:rPr>
        <w:t>资金。</w:t>
      </w:r>
    </w:p>
    <w:p w14:paraId="1270E9B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政府性基金预算财政拨款支出19.11万元。</w:t>
      </w:r>
    </w:p>
    <w:p w14:paraId="10C34D4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1.其他支出（类）彩票公益金安排的支出（款）用于体育事业的彩票公益金支出（项）:支出决算数为19.11万元，比上年决算增加3.26万元，增长20.61%，主要原因是：本年增加自治区第十届少数民族运动会奖励</w:t>
      </w:r>
      <w:r>
        <w:rPr>
          <w:rFonts w:hint="eastAsia" w:ascii="仿宋_GB2312" w:eastAsia="仿宋_GB2312"/>
          <w:sz w:val="32"/>
          <w:szCs w:val="32"/>
          <w:lang w:val="en-US" w:eastAsia="zh-CN"/>
        </w:rPr>
        <w:t>项目</w:t>
      </w:r>
      <w:r>
        <w:rPr>
          <w:rFonts w:hint="eastAsia" w:ascii="仿宋_GB2312" w:eastAsia="仿宋_GB2312"/>
          <w:sz w:val="32"/>
          <w:szCs w:val="32"/>
          <w:lang w:val="zh-CN"/>
        </w:rPr>
        <w:t>资金。</w:t>
      </w:r>
    </w:p>
    <w:p w14:paraId="2F77716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447795B">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5075D38">
      <w:pPr>
        <w:ind w:firstLine="640" w:firstLineChars="200"/>
        <w:jc w:val="left"/>
        <w:outlineLvl w:val="1"/>
        <w:rPr>
          <w:rFonts w:hint="eastAsia" w:ascii="黑体" w:hAnsi="黑体" w:eastAsia="黑体" w:cs="宋体"/>
          <w:bCs/>
          <w:kern w:val="0"/>
          <w:sz w:val="32"/>
          <w:szCs w:val="32"/>
        </w:rPr>
      </w:pPr>
      <w:bookmarkStart w:id="21" w:name="_Toc7314"/>
      <w:bookmarkStart w:id="22" w:name="_Toc1235"/>
      <w:r>
        <w:rPr>
          <w:rFonts w:hint="eastAsia" w:ascii="黑体" w:hAnsi="黑体" w:eastAsia="黑体" w:cs="宋体"/>
          <w:bCs/>
          <w:kern w:val="0"/>
          <w:sz w:val="32"/>
          <w:szCs w:val="32"/>
        </w:rPr>
        <w:t>十、其他重要事项的情况说明</w:t>
      </w:r>
      <w:bookmarkEnd w:id="21"/>
      <w:bookmarkEnd w:id="22"/>
    </w:p>
    <w:p w14:paraId="568FF9EB">
      <w:pPr>
        <w:ind w:firstLine="640" w:firstLineChars="200"/>
        <w:jc w:val="left"/>
        <w:outlineLvl w:val="2"/>
        <w:rPr>
          <w:rFonts w:hint="eastAsia" w:ascii="黑体" w:hAnsi="黑体" w:eastAsia="黑体"/>
          <w:sz w:val="32"/>
          <w:szCs w:val="32"/>
        </w:rPr>
      </w:pPr>
      <w:bookmarkStart w:id="23" w:name="_Toc14519"/>
      <w:bookmarkStart w:id="24" w:name="_Toc13105"/>
      <w:r>
        <w:rPr>
          <w:rFonts w:hint="eastAsia" w:ascii="黑体" w:hAnsi="黑体" w:eastAsia="黑体"/>
          <w:sz w:val="32"/>
          <w:szCs w:val="32"/>
        </w:rPr>
        <w:t>（一）机关运行经费支出情况</w:t>
      </w:r>
      <w:bookmarkEnd w:id="23"/>
      <w:bookmarkEnd w:id="24"/>
    </w:p>
    <w:p w14:paraId="6C739EA2">
      <w:pPr>
        <w:ind w:firstLine="640" w:firstLineChars="200"/>
        <w:jc w:val="left"/>
        <w:rPr>
          <w:rFonts w:ascii="仿宋_GB2312" w:eastAsia="仿宋_GB2312"/>
          <w:sz w:val="32"/>
          <w:szCs w:val="32"/>
          <w:lang w:val="zh-CN"/>
        </w:rPr>
      </w:pPr>
      <w:bookmarkStart w:id="25" w:name="_Toc26704"/>
      <w:bookmarkStart w:id="26" w:name="_Toc227"/>
      <w:r>
        <w:rPr>
          <w:rFonts w:hint="eastAsia" w:ascii="仿宋_GB2312" w:eastAsia="仿宋_GB2312"/>
          <w:sz w:val="32"/>
          <w:szCs w:val="32"/>
          <w:lang w:val="zh-CN"/>
        </w:rPr>
        <w:t>2023年度中共木垒哈萨克自治县委员会统一战线工作部（行政单位和参照公务员法管理事业单位）机关运行经费支出59.59万元，比上年增加33.73万元，增长130.43%,主要原因是：本年单位办公费、水电费、</w:t>
      </w:r>
      <w:r>
        <w:rPr>
          <w:rFonts w:hint="eastAsia" w:ascii="仿宋_GB2312" w:hAnsi="仿宋_GB2312" w:eastAsia="仿宋_GB2312" w:cs="仿宋_GB2312"/>
          <w:sz w:val="32"/>
          <w:szCs w:val="32"/>
        </w:rPr>
        <w:t>取暖费等较上年增加</w:t>
      </w:r>
      <w:r>
        <w:rPr>
          <w:rFonts w:hint="eastAsia" w:ascii="仿宋_GB2312" w:eastAsia="仿宋_GB2312"/>
          <w:sz w:val="32"/>
          <w:szCs w:val="32"/>
          <w:lang w:val="zh-CN"/>
        </w:rPr>
        <w:t>。</w:t>
      </w:r>
    </w:p>
    <w:p w14:paraId="2A99AD21">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14:paraId="6493A3A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2023年度政府采购支出总额24.82万元，其中：政府采购货物支出19.66万元、政府采购工程支出0.00万元、政府采购服务支出5.16万元。</w:t>
      </w:r>
    </w:p>
    <w:p w14:paraId="0EF92CC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授予中小企业合同金额4.40万元，占政府采购支出总额的17.73</w:t>
      </w:r>
      <w:r>
        <w:rPr>
          <w:rFonts w:ascii="仿宋_GB2312" w:eastAsia="仿宋_GB2312"/>
          <w:sz w:val="32"/>
          <w:szCs w:val="32"/>
          <w:lang w:val="zh-CN"/>
        </w:rPr>
        <w:t>%</w:t>
      </w:r>
      <w:r>
        <w:rPr>
          <w:rFonts w:hint="eastAsia" w:ascii="仿宋_GB2312" w:eastAsia="仿宋_GB2312"/>
          <w:sz w:val="32"/>
          <w:szCs w:val="32"/>
          <w:lang w:val="zh-CN"/>
        </w:rPr>
        <w:t>，其中：授予小微企业合同金额3.34万元，占政府采购支出总额的13.46</w:t>
      </w:r>
      <w:r>
        <w:rPr>
          <w:rFonts w:ascii="仿宋_GB2312" w:eastAsia="仿宋_GB2312"/>
          <w:sz w:val="32"/>
          <w:szCs w:val="32"/>
          <w:lang w:val="zh-CN"/>
        </w:rPr>
        <w:t>%</w:t>
      </w:r>
      <w:r>
        <w:rPr>
          <w:rFonts w:hint="eastAsia" w:ascii="仿宋_GB2312" w:eastAsia="仿宋_GB2312"/>
          <w:sz w:val="32"/>
          <w:szCs w:val="32"/>
          <w:lang w:val="zh-CN"/>
        </w:rPr>
        <w:t>。</w:t>
      </w:r>
    </w:p>
    <w:p w14:paraId="0836DD14">
      <w:pPr>
        <w:ind w:firstLine="640" w:firstLineChars="200"/>
        <w:jc w:val="left"/>
        <w:rPr>
          <w:rFonts w:eastAsia="黑体"/>
          <w:sz w:val="32"/>
          <w:szCs w:val="30"/>
          <w:lang w:val="zh-CN"/>
        </w:rPr>
      </w:pPr>
      <w:bookmarkStart w:id="27" w:name="_Toc4591"/>
      <w:bookmarkStart w:id="28" w:name="_Toc8391"/>
      <w:r>
        <w:rPr>
          <w:rFonts w:hint="eastAsia" w:eastAsia="黑体"/>
          <w:sz w:val="32"/>
          <w:szCs w:val="30"/>
          <w:lang w:val="zh-CN"/>
        </w:rPr>
        <w:t>（三）国有资产占用情况说明</w:t>
      </w:r>
      <w:bookmarkEnd w:id="27"/>
      <w:bookmarkEnd w:id="28"/>
    </w:p>
    <w:p w14:paraId="3BCC107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截至2023年12月31日，固定资产原值123.64万元，房屋0.0</w:t>
      </w:r>
      <w:r>
        <w:rPr>
          <w:rFonts w:ascii="仿宋_GB2312" w:eastAsia="仿宋_GB2312"/>
          <w:sz w:val="32"/>
          <w:szCs w:val="32"/>
          <w:lang w:val="zh-CN"/>
        </w:rPr>
        <w:t>0</w:t>
      </w:r>
      <w:r>
        <w:rPr>
          <w:rFonts w:hint="eastAsia" w:ascii="仿宋_GB2312" w:eastAsia="仿宋_GB2312"/>
          <w:sz w:val="32"/>
          <w:szCs w:val="32"/>
          <w:lang w:val="zh-CN"/>
        </w:rPr>
        <w:t>平方米，价值0.00万元。车辆3辆，价值47.30万元，其中：副部（省）级及以上领导用车0辆、主要负责人用车0辆、机要通信用车0辆、应急保障用车0辆、执法执勤用车0辆、特种专业技术用车0辆、离退休干部服务用车0辆、其他用车3辆，其他用车主要是：业务用车；单价100万元（含）以上设备（不含车辆）0台（套）。</w:t>
      </w:r>
    </w:p>
    <w:p w14:paraId="1EA1B5E0">
      <w:pPr>
        <w:ind w:firstLine="640" w:firstLineChars="200"/>
        <w:jc w:val="left"/>
        <w:outlineLvl w:val="1"/>
        <w:rPr>
          <w:rFonts w:hint="eastAsia" w:ascii="黑体" w:hAnsi="黑体" w:eastAsia="黑体" w:cs="宋体"/>
          <w:bCs/>
          <w:kern w:val="0"/>
          <w:sz w:val="32"/>
          <w:szCs w:val="32"/>
        </w:rPr>
      </w:pPr>
      <w:bookmarkStart w:id="29" w:name="_Toc11283"/>
      <w:bookmarkStart w:id="30" w:name="_Toc435"/>
      <w:r>
        <w:rPr>
          <w:rFonts w:hint="eastAsia" w:ascii="黑体" w:hAnsi="黑体" w:eastAsia="黑体" w:cs="宋体"/>
          <w:bCs/>
          <w:kern w:val="0"/>
          <w:sz w:val="32"/>
          <w:szCs w:val="32"/>
        </w:rPr>
        <w:t>十一、预算绩效的情况说明</w:t>
      </w:r>
      <w:bookmarkEnd w:id="29"/>
      <w:bookmarkEnd w:id="30"/>
    </w:p>
    <w:p w14:paraId="3CCB0EC5">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600.36</w:t>
      </w:r>
      <w:r>
        <w:rPr>
          <w:rFonts w:hint="eastAsia" w:ascii="仿宋_GB2312" w:eastAsia="仿宋_GB2312"/>
          <w:sz w:val="32"/>
          <w:szCs w:val="32"/>
        </w:rPr>
        <w:t>万元，实际执行总额</w:t>
      </w:r>
      <w:r>
        <w:rPr>
          <w:rFonts w:ascii="仿宋_GB2312" w:eastAsia="仿宋_GB2312"/>
          <w:sz w:val="32"/>
          <w:szCs w:val="32"/>
        </w:rPr>
        <w:t>600.36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预算绩效评价项目1个，全年预算数1</w:t>
      </w:r>
      <w:r>
        <w:rPr>
          <w:rFonts w:ascii="仿宋_GB2312" w:eastAsia="仿宋_GB2312"/>
          <w:sz w:val="32"/>
          <w:szCs w:val="32"/>
        </w:rPr>
        <w:t>0.00</w:t>
      </w:r>
      <w:r>
        <w:rPr>
          <w:rFonts w:hint="eastAsia" w:ascii="仿宋_GB2312" w:eastAsia="仿宋_GB2312"/>
          <w:sz w:val="32"/>
          <w:szCs w:val="32"/>
        </w:rPr>
        <w:t>万元，全年执行数1</w:t>
      </w:r>
      <w:r>
        <w:rPr>
          <w:rFonts w:ascii="仿宋_GB2312" w:eastAsia="仿宋_GB2312"/>
          <w:sz w:val="32"/>
          <w:szCs w:val="32"/>
        </w:rPr>
        <w:t>0.00</w:t>
      </w:r>
      <w:r>
        <w:rPr>
          <w:rFonts w:hint="eastAsia" w:ascii="仿宋_GB2312" w:eastAsia="仿宋_GB2312"/>
          <w:sz w:val="32"/>
          <w:szCs w:val="32"/>
        </w:rPr>
        <w:t>万元。预算绩效管理取得的成效：一是制订专项资金管理制度，各专项资金建立了专账，</w:t>
      </w:r>
      <w:r>
        <w:rPr>
          <w:rFonts w:hint="eastAsia" w:ascii="仿宋_GB2312" w:eastAsia="仿宋_GB2312"/>
          <w:sz w:val="32"/>
          <w:szCs w:val="32"/>
          <w:lang w:eastAsia="zh-CN"/>
        </w:rPr>
        <w:t>制定</w:t>
      </w:r>
      <w:r>
        <w:rPr>
          <w:rFonts w:hint="eastAsia" w:ascii="仿宋_GB2312" w:eastAsia="仿宋_GB2312"/>
          <w:sz w:val="32"/>
          <w:szCs w:val="32"/>
        </w:rPr>
        <w:t>了项目实施方案；二是切实</w:t>
      </w:r>
      <w:r>
        <w:rPr>
          <w:rFonts w:hint="eastAsia" w:ascii="仿宋_GB2312" w:eastAsia="仿宋_GB2312"/>
          <w:sz w:val="32"/>
          <w:szCs w:val="32"/>
          <w:lang w:eastAsia="zh-CN"/>
        </w:rPr>
        <w:t>维护专项资金</w:t>
      </w:r>
      <w:r>
        <w:rPr>
          <w:rFonts w:hint="eastAsia" w:ascii="仿宋_GB2312" w:eastAsia="仿宋_GB2312"/>
          <w:sz w:val="32"/>
          <w:szCs w:val="32"/>
        </w:rPr>
        <w:t>做到了专款专用。专项资金的使用符合国家法规和财务管理制度，专项资金拨付有完整的审批程序和手续，符合项目预算批复或合同规定的用途，不存在截留、挤占、挪用、虚列支出等情况。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构建专业、客观、独立、多样的绩效评价主体。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0"/>
        <w:gridCol w:w="913"/>
        <w:gridCol w:w="913"/>
        <w:gridCol w:w="913"/>
        <w:gridCol w:w="1499"/>
        <w:gridCol w:w="709"/>
        <w:gridCol w:w="1184"/>
        <w:gridCol w:w="1701"/>
      </w:tblGrid>
      <w:tr w14:paraId="56EF5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14:paraId="55025E7A">
            <w:pPr>
              <w:widowControl/>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14:paraId="1E72E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35DDF0F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38AF5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0" w:type="dxa"/>
            <w:shd w:val="clear" w:color="auto" w:fill="auto"/>
            <w:noWrap/>
            <w:vAlign w:val="center"/>
          </w:tcPr>
          <w:p w14:paraId="395191B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832" w:type="dxa"/>
            <w:gridSpan w:val="7"/>
            <w:shd w:val="clear" w:color="auto" w:fill="auto"/>
            <w:noWrap/>
            <w:vAlign w:val="center"/>
          </w:tcPr>
          <w:p w14:paraId="094F0CE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中共木垒哈萨克自治县委员会统一战线工作部</w:t>
            </w:r>
          </w:p>
        </w:tc>
      </w:tr>
      <w:tr w14:paraId="4B4EC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90" w:type="dxa"/>
            <w:vMerge w:val="restart"/>
            <w:shd w:val="clear" w:color="auto" w:fill="auto"/>
            <w:vAlign w:val="center"/>
          </w:tcPr>
          <w:p w14:paraId="38A2347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913" w:type="dxa"/>
            <w:shd w:val="clear" w:color="auto" w:fill="auto"/>
            <w:vAlign w:val="center"/>
          </w:tcPr>
          <w:p w14:paraId="41C3ACB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913" w:type="dxa"/>
            <w:shd w:val="clear" w:color="auto" w:fill="auto"/>
            <w:vAlign w:val="center"/>
          </w:tcPr>
          <w:p w14:paraId="0AC4FEF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913" w:type="dxa"/>
            <w:shd w:val="clear" w:color="auto" w:fill="auto"/>
            <w:vAlign w:val="center"/>
          </w:tcPr>
          <w:p w14:paraId="4276C69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499" w:type="dxa"/>
            <w:shd w:val="clear" w:color="auto" w:fill="auto"/>
            <w:vAlign w:val="center"/>
          </w:tcPr>
          <w:p w14:paraId="61AE504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709" w:type="dxa"/>
            <w:shd w:val="clear" w:color="auto" w:fill="auto"/>
            <w:vAlign w:val="center"/>
          </w:tcPr>
          <w:p w14:paraId="774B569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184" w:type="dxa"/>
            <w:shd w:val="clear" w:color="auto" w:fill="auto"/>
            <w:vAlign w:val="center"/>
          </w:tcPr>
          <w:p w14:paraId="2045B6A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1701" w:type="dxa"/>
            <w:shd w:val="clear" w:color="auto" w:fill="auto"/>
            <w:vAlign w:val="center"/>
          </w:tcPr>
          <w:p w14:paraId="2D7DB9D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3DCA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90" w:type="dxa"/>
            <w:vMerge w:val="continue"/>
            <w:vAlign w:val="center"/>
          </w:tcPr>
          <w:p w14:paraId="297E719B">
            <w:pPr>
              <w:widowControl/>
              <w:jc w:val="left"/>
              <w:rPr>
                <w:rFonts w:hint="eastAsia" w:cs="宋体" w:asciiTheme="minorEastAsia" w:hAnsiTheme="minorEastAsia" w:eastAsiaTheme="minorEastAsia"/>
                <w:bCs/>
                <w:kern w:val="0"/>
                <w:sz w:val="20"/>
                <w:szCs w:val="20"/>
              </w:rPr>
            </w:pPr>
          </w:p>
        </w:tc>
        <w:tc>
          <w:tcPr>
            <w:tcW w:w="913" w:type="dxa"/>
            <w:shd w:val="clear" w:color="auto" w:fill="auto"/>
            <w:noWrap/>
            <w:vAlign w:val="center"/>
          </w:tcPr>
          <w:p w14:paraId="72D8FF0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913" w:type="dxa"/>
            <w:shd w:val="clear" w:color="auto" w:fill="auto"/>
            <w:vAlign w:val="center"/>
          </w:tcPr>
          <w:p w14:paraId="09BD9B5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13" w:type="dxa"/>
            <w:shd w:val="clear" w:color="auto" w:fill="auto"/>
            <w:vAlign w:val="center"/>
          </w:tcPr>
          <w:p w14:paraId="49FC6D8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99" w:type="dxa"/>
            <w:shd w:val="clear" w:color="auto" w:fill="auto"/>
            <w:vAlign w:val="center"/>
          </w:tcPr>
          <w:p w14:paraId="7402E4F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709" w:type="dxa"/>
            <w:shd w:val="clear" w:color="auto" w:fill="auto"/>
            <w:vAlign w:val="center"/>
          </w:tcPr>
          <w:p w14:paraId="2E1649B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1184" w:type="dxa"/>
            <w:shd w:val="clear" w:color="auto" w:fill="auto"/>
            <w:vAlign w:val="center"/>
          </w:tcPr>
          <w:p w14:paraId="2816F30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1701" w:type="dxa"/>
            <w:shd w:val="clear" w:color="auto" w:fill="auto"/>
            <w:vAlign w:val="center"/>
          </w:tcPr>
          <w:p w14:paraId="137655E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4FC82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90" w:type="dxa"/>
            <w:vMerge w:val="continue"/>
            <w:vAlign w:val="center"/>
          </w:tcPr>
          <w:p w14:paraId="2E0B4FAB">
            <w:pPr>
              <w:widowControl/>
              <w:jc w:val="left"/>
              <w:rPr>
                <w:rFonts w:hint="eastAsia" w:cs="宋体" w:asciiTheme="minorEastAsia" w:hAnsiTheme="minorEastAsia" w:eastAsiaTheme="minorEastAsia"/>
                <w:bCs/>
                <w:kern w:val="0"/>
                <w:sz w:val="20"/>
                <w:szCs w:val="20"/>
              </w:rPr>
            </w:pPr>
          </w:p>
        </w:tc>
        <w:tc>
          <w:tcPr>
            <w:tcW w:w="913" w:type="dxa"/>
            <w:shd w:val="clear" w:color="auto" w:fill="auto"/>
            <w:vAlign w:val="center"/>
          </w:tcPr>
          <w:p w14:paraId="02FC2C3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913" w:type="dxa"/>
            <w:shd w:val="clear" w:color="auto" w:fill="auto"/>
            <w:vAlign w:val="center"/>
          </w:tcPr>
          <w:p w14:paraId="1F38EC5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13" w:type="dxa"/>
            <w:shd w:val="clear" w:color="auto" w:fill="auto"/>
            <w:vAlign w:val="center"/>
          </w:tcPr>
          <w:p w14:paraId="65CF551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99" w:type="dxa"/>
            <w:shd w:val="clear" w:color="auto" w:fill="auto"/>
            <w:vAlign w:val="center"/>
          </w:tcPr>
          <w:p w14:paraId="5E01416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709" w:type="dxa"/>
            <w:shd w:val="clear" w:color="auto" w:fill="auto"/>
            <w:vAlign w:val="center"/>
          </w:tcPr>
          <w:p w14:paraId="71360C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84" w:type="dxa"/>
            <w:shd w:val="clear" w:color="auto" w:fill="auto"/>
            <w:vAlign w:val="center"/>
          </w:tcPr>
          <w:p w14:paraId="417C9C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701" w:type="dxa"/>
            <w:shd w:val="clear" w:color="auto" w:fill="auto"/>
            <w:vAlign w:val="center"/>
          </w:tcPr>
          <w:p w14:paraId="647DF9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EDAE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90" w:type="dxa"/>
            <w:vMerge w:val="continue"/>
            <w:vAlign w:val="center"/>
          </w:tcPr>
          <w:p w14:paraId="4D604753">
            <w:pPr>
              <w:widowControl/>
              <w:jc w:val="left"/>
              <w:rPr>
                <w:rFonts w:hint="eastAsia" w:cs="宋体" w:asciiTheme="minorEastAsia" w:hAnsiTheme="minorEastAsia" w:eastAsiaTheme="minorEastAsia"/>
                <w:bCs/>
                <w:kern w:val="0"/>
                <w:sz w:val="20"/>
                <w:szCs w:val="20"/>
              </w:rPr>
            </w:pPr>
          </w:p>
        </w:tc>
        <w:tc>
          <w:tcPr>
            <w:tcW w:w="913" w:type="dxa"/>
            <w:shd w:val="clear" w:color="auto" w:fill="auto"/>
            <w:vAlign w:val="center"/>
          </w:tcPr>
          <w:p w14:paraId="019D1BA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913" w:type="dxa"/>
            <w:shd w:val="clear" w:color="auto" w:fill="auto"/>
            <w:vAlign w:val="center"/>
          </w:tcPr>
          <w:p w14:paraId="033AFA7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13" w:type="dxa"/>
            <w:shd w:val="clear" w:color="auto" w:fill="auto"/>
            <w:vAlign w:val="center"/>
          </w:tcPr>
          <w:p w14:paraId="08A65E9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99" w:type="dxa"/>
            <w:shd w:val="clear" w:color="auto" w:fill="auto"/>
            <w:vAlign w:val="center"/>
          </w:tcPr>
          <w:p w14:paraId="7187021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709" w:type="dxa"/>
            <w:shd w:val="clear" w:color="auto" w:fill="auto"/>
            <w:vAlign w:val="center"/>
          </w:tcPr>
          <w:p w14:paraId="6368A9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84" w:type="dxa"/>
            <w:shd w:val="clear" w:color="auto" w:fill="auto"/>
            <w:vAlign w:val="center"/>
          </w:tcPr>
          <w:p w14:paraId="412A90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701" w:type="dxa"/>
            <w:shd w:val="clear" w:color="auto" w:fill="auto"/>
            <w:vAlign w:val="center"/>
          </w:tcPr>
          <w:p w14:paraId="19048E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C32B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90" w:type="dxa"/>
            <w:vMerge w:val="continue"/>
            <w:vAlign w:val="center"/>
          </w:tcPr>
          <w:p w14:paraId="0F973556">
            <w:pPr>
              <w:widowControl/>
              <w:jc w:val="left"/>
              <w:rPr>
                <w:rFonts w:hint="eastAsia" w:cs="宋体" w:asciiTheme="minorEastAsia" w:hAnsiTheme="minorEastAsia" w:eastAsiaTheme="minorEastAsia"/>
                <w:bCs/>
                <w:kern w:val="0"/>
                <w:sz w:val="20"/>
                <w:szCs w:val="20"/>
              </w:rPr>
            </w:pPr>
          </w:p>
        </w:tc>
        <w:tc>
          <w:tcPr>
            <w:tcW w:w="913" w:type="dxa"/>
            <w:shd w:val="clear" w:color="auto" w:fill="auto"/>
            <w:vAlign w:val="center"/>
          </w:tcPr>
          <w:p w14:paraId="36E5D2A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913" w:type="dxa"/>
            <w:shd w:val="clear" w:color="auto" w:fill="auto"/>
            <w:vAlign w:val="center"/>
          </w:tcPr>
          <w:p w14:paraId="29CE085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599.38</w:t>
            </w:r>
          </w:p>
        </w:tc>
        <w:tc>
          <w:tcPr>
            <w:tcW w:w="913" w:type="dxa"/>
            <w:shd w:val="clear" w:color="auto" w:fill="auto"/>
            <w:vAlign w:val="center"/>
          </w:tcPr>
          <w:p w14:paraId="6021A3C7">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600.41</w:t>
            </w:r>
          </w:p>
        </w:tc>
        <w:tc>
          <w:tcPr>
            <w:tcW w:w="1499" w:type="dxa"/>
            <w:shd w:val="clear" w:color="auto" w:fill="auto"/>
            <w:vAlign w:val="center"/>
          </w:tcPr>
          <w:p w14:paraId="0594E46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600.36</w:t>
            </w:r>
          </w:p>
        </w:tc>
        <w:tc>
          <w:tcPr>
            <w:tcW w:w="709" w:type="dxa"/>
            <w:shd w:val="clear" w:color="auto" w:fill="auto"/>
            <w:vAlign w:val="center"/>
          </w:tcPr>
          <w:p w14:paraId="3C0B3E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84" w:type="dxa"/>
            <w:shd w:val="clear" w:color="auto" w:fill="auto"/>
            <w:vAlign w:val="center"/>
          </w:tcPr>
          <w:p w14:paraId="167604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701" w:type="dxa"/>
            <w:shd w:val="clear" w:color="auto" w:fill="auto"/>
            <w:vAlign w:val="center"/>
          </w:tcPr>
          <w:p w14:paraId="489F8E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C5C7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90" w:type="dxa"/>
            <w:vMerge w:val="continue"/>
            <w:vAlign w:val="center"/>
          </w:tcPr>
          <w:p w14:paraId="30E5A4E4">
            <w:pPr>
              <w:widowControl/>
              <w:jc w:val="left"/>
              <w:rPr>
                <w:rFonts w:hint="eastAsia" w:cs="宋体" w:asciiTheme="minorEastAsia" w:hAnsiTheme="minorEastAsia" w:eastAsiaTheme="minorEastAsia"/>
                <w:bCs/>
                <w:kern w:val="0"/>
                <w:sz w:val="20"/>
                <w:szCs w:val="20"/>
              </w:rPr>
            </w:pPr>
          </w:p>
        </w:tc>
        <w:tc>
          <w:tcPr>
            <w:tcW w:w="913" w:type="dxa"/>
            <w:shd w:val="clear" w:color="auto" w:fill="auto"/>
            <w:vAlign w:val="center"/>
          </w:tcPr>
          <w:p w14:paraId="74F3993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913" w:type="dxa"/>
            <w:shd w:val="clear" w:color="auto" w:fill="auto"/>
            <w:vAlign w:val="center"/>
          </w:tcPr>
          <w:p w14:paraId="4048C8E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13" w:type="dxa"/>
            <w:shd w:val="clear" w:color="auto" w:fill="auto"/>
            <w:vAlign w:val="center"/>
          </w:tcPr>
          <w:p w14:paraId="434F8F7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99" w:type="dxa"/>
            <w:shd w:val="clear" w:color="auto" w:fill="auto"/>
            <w:vAlign w:val="center"/>
          </w:tcPr>
          <w:p w14:paraId="5E3EE03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709" w:type="dxa"/>
            <w:shd w:val="clear" w:color="auto" w:fill="auto"/>
            <w:vAlign w:val="center"/>
          </w:tcPr>
          <w:p w14:paraId="2D2D0C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84" w:type="dxa"/>
            <w:shd w:val="clear" w:color="auto" w:fill="auto"/>
            <w:vAlign w:val="center"/>
          </w:tcPr>
          <w:p w14:paraId="345003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701" w:type="dxa"/>
            <w:shd w:val="clear" w:color="auto" w:fill="auto"/>
            <w:vAlign w:val="center"/>
          </w:tcPr>
          <w:p w14:paraId="7CB0F9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DA7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90" w:type="dxa"/>
            <w:vMerge w:val="continue"/>
            <w:vAlign w:val="center"/>
          </w:tcPr>
          <w:p w14:paraId="722018B4">
            <w:pPr>
              <w:widowControl/>
              <w:jc w:val="left"/>
              <w:rPr>
                <w:rFonts w:hint="eastAsia" w:cs="宋体" w:asciiTheme="minorEastAsia" w:hAnsiTheme="minorEastAsia" w:eastAsiaTheme="minorEastAsia"/>
                <w:bCs/>
                <w:kern w:val="0"/>
                <w:sz w:val="20"/>
                <w:szCs w:val="20"/>
              </w:rPr>
            </w:pPr>
          </w:p>
        </w:tc>
        <w:tc>
          <w:tcPr>
            <w:tcW w:w="913" w:type="dxa"/>
            <w:shd w:val="clear" w:color="auto" w:fill="auto"/>
            <w:vAlign w:val="center"/>
          </w:tcPr>
          <w:p w14:paraId="5460AC6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913" w:type="dxa"/>
            <w:shd w:val="clear" w:color="auto" w:fill="auto"/>
            <w:vAlign w:val="center"/>
          </w:tcPr>
          <w:p w14:paraId="1BC38EF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599.38</w:t>
            </w:r>
          </w:p>
        </w:tc>
        <w:tc>
          <w:tcPr>
            <w:tcW w:w="913" w:type="dxa"/>
            <w:shd w:val="clear" w:color="auto" w:fill="auto"/>
            <w:vAlign w:val="center"/>
          </w:tcPr>
          <w:p w14:paraId="38506A81">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600.41</w:t>
            </w:r>
          </w:p>
        </w:tc>
        <w:tc>
          <w:tcPr>
            <w:tcW w:w="1499" w:type="dxa"/>
            <w:shd w:val="clear" w:color="auto" w:fill="auto"/>
            <w:vAlign w:val="center"/>
          </w:tcPr>
          <w:p w14:paraId="0012A95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600.36</w:t>
            </w:r>
          </w:p>
        </w:tc>
        <w:tc>
          <w:tcPr>
            <w:tcW w:w="709" w:type="dxa"/>
            <w:shd w:val="clear" w:color="auto" w:fill="auto"/>
            <w:vAlign w:val="center"/>
          </w:tcPr>
          <w:p w14:paraId="66F807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84" w:type="dxa"/>
            <w:shd w:val="clear" w:color="auto" w:fill="auto"/>
            <w:vAlign w:val="center"/>
          </w:tcPr>
          <w:p w14:paraId="544DA4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701" w:type="dxa"/>
            <w:shd w:val="clear" w:color="auto" w:fill="auto"/>
            <w:vAlign w:val="center"/>
          </w:tcPr>
          <w:p w14:paraId="41BCA8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B283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690" w:type="dxa"/>
            <w:vMerge w:val="restart"/>
            <w:shd w:val="clear" w:color="auto" w:fill="auto"/>
            <w:vAlign w:val="center"/>
          </w:tcPr>
          <w:p w14:paraId="25AF66E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2739" w:type="dxa"/>
            <w:gridSpan w:val="3"/>
            <w:shd w:val="clear" w:color="auto" w:fill="auto"/>
            <w:noWrap/>
            <w:vAlign w:val="center"/>
          </w:tcPr>
          <w:p w14:paraId="550BFFB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5093" w:type="dxa"/>
            <w:gridSpan w:val="4"/>
            <w:shd w:val="clear" w:color="auto" w:fill="auto"/>
            <w:noWrap/>
            <w:vAlign w:val="center"/>
          </w:tcPr>
          <w:p w14:paraId="485EE29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2460B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690" w:type="dxa"/>
            <w:vMerge w:val="continue"/>
            <w:vAlign w:val="center"/>
          </w:tcPr>
          <w:p w14:paraId="501A727E">
            <w:pPr>
              <w:widowControl/>
              <w:jc w:val="left"/>
              <w:rPr>
                <w:rFonts w:hint="eastAsia" w:cs="宋体" w:asciiTheme="minorEastAsia" w:hAnsiTheme="minorEastAsia" w:eastAsiaTheme="minorEastAsia"/>
                <w:bCs/>
                <w:kern w:val="0"/>
                <w:sz w:val="20"/>
                <w:szCs w:val="20"/>
              </w:rPr>
            </w:pPr>
          </w:p>
        </w:tc>
        <w:tc>
          <w:tcPr>
            <w:tcW w:w="2739" w:type="dxa"/>
            <w:gridSpan w:val="3"/>
            <w:shd w:val="clear" w:color="auto" w:fill="auto"/>
            <w:vAlign w:val="center"/>
          </w:tcPr>
          <w:p w14:paraId="21A72C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目标一：保障办公人员数量18人，统战干部集中培训3天，组织民族团结进步“互关互学”观摩会1次，举办“十个一次”活动1年。目标2：举办统战干部集中培训，真正做到学思贯通、知</w:t>
            </w:r>
            <w:r>
              <w:rPr>
                <w:rFonts w:hint="eastAsia" w:cs="宋体" w:asciiTheme="minorEastAsia" w:hAnsiTheme="minorEastAsia" w:eastAsiaTheme="minorEastAsia"/>
                <w:kern w:val="0"/>
                <w:sz w:val="20"/>
                <w:szCs w:val="20"/>
                <w:lang w:eastAsia="zh-CN"/>
              </w:rPr>
              <w:t>行</w:t>
            </w:r>
            <w:r>
              <w:rPr>
                <w:rFonts w:hint="eastAsia" w:cs="宋体" w:asciiTheme="minorEastAsia" w:hAnsiTheme="minorEastAsia" w:eastAsiaTheme="minorEastAsia"/>
                <w:kern w:val="0"/>
                <w:sz w:val="20"/>
                <w:szCs w:val="20"/>
              </w:rPr>
              <w:t>合一。</w:t>
            </w:r>
          </w:p>
        </w:tc>
        <w:tc>
          <w:tcPr>
            <w:tcW w:w="5093" w:type="dxa"/>
            <w:gridSpan w:val="4"/>
            <w:shd w:val="clear" w:color="auto" w:fill="auto"/>
            <w:vAlign w:val="center"/>
          </w:tcPr>
          <w:p w14:paraId="256EBD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截至2023年</w:t>
            </w:r>
            <w:r>
              <w:rPr>
                <w:rFonts w:hint="eastAsia" w:cs="宋体" w:asciiTheme="minorEastAsia" w:hAnsiTheme="minorEastAsia" w:eastAsiaTheme="minorEastAsia"/>
                <w:kern w:val="0"/>
                <w:sz w:val="20"/>
                <w:szCs w:val="20"/>
              </w:rPr>
              <w:t>部门整体自评节点，我单位已完成如下工作：保障办公人员数量15人，统战干部专题培训1期，统战干部集中培训3天，统战干部培训完成率100，组织民族团结进步“互关互学”观摩会1次，开展国家通用语言文字培训活动及时率100%。举办统战干部集中培训，真正做到学思贯通、知</w:t>
            </w:r>
            <w:r>
              <w:rPr>
                <w:rFonts w:hint="eastAsia" w:cs="宋体" w:asciiTheme="minorEastAsia" w:hAnsiTheme="minorEastAsia" w:eastAsiaTheme="minorEastAsia"/>
                <w:kern w:val="0"/>
                <w:sz w:val="20"/>
                <w:szCs w:val="20"/>
                <w:lang w:eastAsia="zh-CN"/>
              </w:rPr>
              <w:t>行</w:t>
            </w:r>
            <w:r>
              <w:rPr>
                <w:rFonts w:hint="eastAsia" w:cs="宋体" w:asciiTheme="minorEastAsia" w:hAnsiTheme="minorEastAsia" w:eastAsiaTheme="minorEastAsia"/>
                <w:kern w:val="0"/>
                <w:sz w:val="20"/>
                <w:szCs w:val="20"/>
              </w:rPr>
              <w:t>合一。</w:t>
            </w:r>
          </w:p>
        </w:tc>
      </w:tr>
      <w:tr w14:paraId="5A54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690" w:type="dxa"/>
            <w:shd w:val="clear" w:color="auto" w:fill="auto"/>
            <w:vAlign w:val="center"/>
          </w:tcPr>
          <w:p w14:paraId="2CD8B32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913" w:type="dxa"/>
            <w:shd w:val="clear" w:color="auto" w:fill="auto"/>
            <w:vAlign w:val="center"/>
          </w:tcPr>
          <w:p w14:paraId="105CF24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913" w:type="dxa"/>
            <w:shd w:val="clear" w:color="auto" w:fill="auto"/>
            <w:vAlign w:val="center"/>
          </w:tcPr>
          <w:p w14:paraId="58C82A5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913" w:type="dxa"/>
            <w:shd w:val="clear" w:color="auto" w:fill="auto"/>
            <w:vAlign w:val="center"/>
          </w:tcPr>
          <w:p w14:paraId="120E536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499" w:type="dxa"/>
            <w:shd w:val="clear" w:color="auto" w:fill="auto"/>
            <w:vAlign w:val="center"/>
          </w:tcPr>
          <w:p w14:paraId="4AA28EE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709" w:type="dxa"/>
            <w:shd w:val="clear" w:color="auto" w:fill="auto"/>
            <w:vAlign w:val="center"/>
          </w:tcPr>
          <w:p w14:paraId="595110C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184" w:type="dxa"/>
            <w:shd w:val="clear" w:color="auto" w:fill="auto"/>
            <w:vAlign w:val="center"/>
          </w:tcPr>
          <w:p w14:paraId="15FC97F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1701" w:type="dxa"/>
            <w:shd w:val="clear" w:color="auto" w:fill="auto"/>
            <w:vAlign w:val="center"/>
          </w:tcPr>
          <w:p w14:paraId="165F1FD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169A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90" w:type="dxa"/>
            <w:shd w:val="clear" w:color="auto" w:fill="auto"/>
            <w:vAlign w:val="center"/>
          </w:tcPr>
          <w:p w14:paraId="7A6B3E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913" w:type="dxa"/>
            <w:vMerge w:val="restart"/>
            <w:shd w:val="clear" w:color="auto" w:fill="auto"/>
            <w:vAlign w:val="center"/>
          </w:tcPr>
          <w:p w14:paraId="7F569D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913" w:type="dxa"/>
            <w:shd w:val="clear" w:color="auto" w:fill="auto"/>
            <w:vAlign w:val="center"/>
          </w:tcPr>
          <w:p w14:paraId="38F306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913" w:type="dxa"/>
            <w:shd w:val="clear" w:color="auto" w:fill="auto"/>
            <w:vAlign w:val="center"/>
          </w:tcPr>
          <w:p w14:paraId="5E4DF10F">
            <w:pPr>
              <w:widowControl/>
              <w:jc w:val="center"/>
              <w:rPr>
                <w:rFonts w:hint="eastAsia" w:cs="宋体" w:asciiTheme="minorEastAsia" w:hAnsiTheme="minorEastAsia" w:eastAsiaTheme="minorEastAsia"/>
                <w:kern w:val="0"/>
                <w:sz w:val="20"/>
                <w:szCs w:val="20"/>
              </w:rPr>
            </w:pPr>
            <w:bookmarkStart w:id="49" w:name="_GoBack"/>
            <w:r>
              <w:rPr>
                <w:rFonts w:hint="eastAsia" w:cs="宋体" w:asciiTheme="minorEastAsia" w:hAnsiTheme="minorEastAsia" w:eastAsiaTheme="minorEastAsia"/>
                <w:kern w:val="0"/>
                <w:sz w:val="20"/>
                <w:szCs w:val="20"/>
              </w:rPr>
              <w:t>&gt;</w:t>
            </w:r>
            <w:bookmarkEnd w:id="49"/>
            <w:r>
              <w:rPr>
                <w:rFonts w:hint="eastAsia" w:cs="宋体" w:asciiTheme="minorEastAsia" w:hAnsiTheme="minorEastAsia" w:eastAsiaTheme="minorEastAsia"/>
                <w:kern w:val="0"/>
                <w:sz w:val="20"/>
                <w:szCs w:val="20"/>
              </w:rPr>
              <w:t>=18人</w:t>
            </w:r>
          </w:p>
        </w:tc>
        <w:tc>
          <w:tcPr>
            <w:tcW w:w="1499" w:type="dxa"/>
            <w:shd w:val="clear" w:color="auto" w:fill="auto"/>
            <w:vAlign w:val="center"/>
          </w:tcPr>
          <w:p w14:paraId="6F25B6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中共木垒哈萨克自治县委员会统一战线工作部机构改革方案</w:t>
            </w:r>
          </w:p>
        </w:tc>
        <w:tc>
          <w:tcPr>
            <w:tcW w:w="709" w:type="dxa"/>
            <w:shd w:val="clear" w:color="auto" w:fill="auto"/>
            <w:vAlign w:val="center"/>
          </w:tcPr>
          <w:p w14:paraId="14EA39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c>
          <w:tcPr>
            <w:tcW w:w="1184" w:type="dxa"/>
            <w:shd w:val="clear" w:color="auto" w:fill="auto"/>
            <w:vAlign w:val="center"/>
          </w:tcPr>
          <w:p w14:paraId="78B4FC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18人</w:t>
            </w:r>
          </w:p>
        </w:tc>
        <w:tc>
          <w:tcPr>
            <w:tcW w:w="1701" w:type="dxa"/>
            <w:shd w:val="clear" w:color="auto" w:fill="auto"/>
            <w:vAlign w:val="center"/>
          </w:tcPr>
          <w:p w14:paraId="524E08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r>
      <w:tr w14:paraId="032D5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90" w:type="dxa"/>
            <w:vMerge w:val="restart"/>
            <w:shd w:val="clear" w:color="auto" w:fill="auto"/>
            <w:vAlign w:val="center"/>
          </w:tcPr>
          <w:p w14:paraId="4E01D7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913" w:type="dxa"/>
            <w:vMerge w:val="continue"/>
            <w:vAlign w:val="center"/>
          </w:tcPr>
          <w:p w14:paraId="37C29F49">
            <w:pPr>
              <w:widowControl/>
              <w:jc w:val="left"/>
              <w:rPr>
                <w:rFonts w:hint="eastAsia" w:cs="宋体" w:asciiTheme="minorEastAsia" w:hAnsiTheme="minorEastAsia" w:eastAsiaTheme="minorEastAsia"/>
                <w:kern w:val="0"/>
                <w:sz w:val="20"/>
                <w:szCs w:val="20"/>
              </w:rPr>
            </w:pPr>
          </w:p>
        </w:tc>
        <w:tc>
          <w:tcPr>
            <w:tcW w:w="913" w:type="dxa"/>
            <w:shd w:val="clear" w:color="auto" w:fill="auto"/>
            <w:vAlign w:val="center"/>
          </w:tcPr>
          <w:p w14:paraId="40658C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统战干部专题培训数量</w:t>
            </w:r>
          </w:p>
        </w:tc>
        <w:tc>
          <w:tcPr>
            <w:tcW w:w="913" w:type="dxa"/>
            <w:shd w:val="clear" w:color="auto" w:fill="auto"/>
            <w:vAlign w:val="center"/>
          </w:tcPr>
          <w:p w14:paraId="12C1B6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&gt;=1期</w:t>
            </w:r>
          </w:p>
        </w:tc>
        <w:tc>
          <w:tcPr>
            <w:tcW w:w="1499" w:type="dxa"/>
            <w:shd w:val="clear" w:color="auto" w:fill="auto"/>
            <w:vAlign w:val="center"/>
          </w:tcPr>
          <w:p w14:paraId="2C7141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中共木垒哈萨克自治县委员会统一战线工作部2023年工作计划</w:t>
            </w:r>
          </w:p>
        </w:tc>
        <w:tc>
          <w:tcPr>
            <w:tcW w:w="709" w:type="dxa"/>
            <w:shd w:val="clear" w:color="auto" w:fill="auto"/>
            <w:vAlign w:val="center"/>
          </w:tcPr>
          <w:p w14:paraId="0FF42B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184" w:type="dxa"/>
            <w:shd w:val="clear" w:color="auto" w:fill="auto"/>
            <w:vAlign w:val="center"/>
          </w:tcPr>
          <w:p w14:paraId="25301C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1期</w:t>
            </w:r>
          </w:p>
        </w:tc>
        <w:tc>
          <w:tcPr>
            <w:tcW w:w="1701" w:type="dxa"/>
            <w:shd w:val="clear" w:color="auto" w:fill="auto"/>
            <w:vAlign w:val="center"/>
          </w:tcPr>
          <w:p w14:paraId="41B977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275F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90" w:type="dxa"/>
            <w:vMerge w:val="continue"/>
            <w:vAlign w:val="center"/>
          </w:tcPr>
          <w:p w14:paraId="7CF9081A">
            <w:pPr>
              <w:widowControl/>
              <w:jc w:val="left"/>
              <w:rPr>
                <w:rFonts w:hint="eastAsia" w:cs="宋体" w:asciiTheme="minorEastAsia" w:hAnsiTheme="minorEastAsia" w:eastAsiaTheme="minorEastAsia"/>
                <w:kern w:val="0"/>
                <w:sz w:val="20"/>
                <w:szCs w:val="20"/>
              </w:rPr>
            </w:pPr>
          </w:p>
        </w:tc>
        <w:tc>
          <w:tcPr>
            <w:tcW w:w="913" w:type="dxa"/>
            <w:vMerge w:val="continue"/>
            <w:vAlign w:val="center"/>
          </w:tcPr>
          <w:p w14:paraId="78B8D451">
            <w:pPr>
              <w:widowControl/>
              <w:jc w:val="left"/>
              <w:rPr>
                <w:rFonts w:hint="eastAsia" w:cs="宋体" w:asciiTheme="minorEastAsia" w:hAnsiTheme="minorEastAsia" w:eastAsiaTheme="minorEastAsia"/>
                <w:kern w:val="0"/>
                <w:sz w:val="20"/>
                <w:szCs w:val="20"/>
              </w:rPr>
            </w:pPr>
          </w:p>
        </w:tc>
        <w:tc>
          <w:tcPr>
            <w:tcW w:w="913" w:type="dxa"/>
            <w:shd w:val="clear" w:color="auto" w:fill="auto"/>
            <w:vAlign w:val="center"/>
          </w:tcPr>
          <w:p w14:paraId="65B616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统战干部集中培训课时</w:t>
            </w:r>
          </w:p>
        </w:tc>
        <w:tc>
          <w:tcPr>
            <w:tcW w:w="913" w:type="dxa"/>
            <w:shd w:val="clear" w:color="auto" w:fill="auto"/>
            <w:vAlign w:val="center"/>
          </w:tcPr>
          <w:p w14:paraId="158BBA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&gt;=3天</w:t>
            </w:r>
          </w:p>
        </w:tc>
        <w:tc>
          <w:tcPr>
            <w:tcW w:w="1499" w:type="dxa"/>
            <w:shd w:val="clear" w:color="auto" w:fill="auto"/>
            <w:vAlign w:val="center"/>
          </w:tcPr>
          <w:p w14:paraId="2C8718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中共木垒哈萨克自治县委员会统一战线工作部2023年工作计划</w:t>
            </w:r>
          </w:p>
        </w:tc>
        <w:tc>
          <w:tcPr>
            <w:tcW w:w="709" w:type="dxa"/>
            <w:shd w:val="clear" w:color="auto" w:fill="auto"/>
            <w:vAlign w:val="center"/>
          </w:tcPr>
          <w:p w14:paraId="55B3C5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184" w:type="dxa"/>
            <w:shd w:val="clear" w:color="auto" w:fill="auto"/>
            <w:vAlign w:val="center"/>
          </w:tcPr>
          <w:p w14:paraId="6CA8F0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3天</w:t>
            </w:r>
          </w:p>
        </w:tc>
        <w:tc>
          <w:tcPr>
            <w:tcW w:w="1701" w:type="dxa"/>
            <w:shd w:val="clear" w:color="auto" w:fill="auto"/>
            <w:vAlign w:val="center"/>
          </w:tcPr>
          <w:p w14:paraId="281421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306BF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90" w:type="dxa"/>
            <w:vMerge w:val="continue"/>
            <w:vAlign w:val="center"/>
          </w:tcPr>
          <w:p w14:paraId="22BDBA2C">
            <w:pPr>
              <w:widowControl/>
              <w:jc w:val="left"/>
              <w:rPr>
                <w:rFonts w:hint="eastAsia" w:cs="宋体" w:asciiTheme="minorEastAsia" w:hAnsiTheme="minorEastAsia" w:eastAsiaTheme="minorEastAsia"/>
                <w:kern w:val="0"/>
                <w:sz w:val="20"/>
                <w:szCs w:val="20"/>
              </w:rPr>
            </w:pPr>
          </w:p>
        </w:tc>
        <w:tc>
          <w:tcPr>
            <w:tcW w:w="913" w:type="dxa"/>
            <w:shd w:val="clear" w:color="auto" w:fill="auto"/>
            <w:vAlign w:val="center"/>
          </w:tcPr>
          <w:p w14:paraId="639BF5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913" w:type="dxa"/>
            <w:shd w:val="clear" w:color="auto" w:fill="auto"/>
            <w:vAlign w:val="center"/>
          </w:tcPr>
          <w:p w14:paraId="71295F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统战干部培训完成率</w:t>
            </w:r>
          </w:p>
        </w:tc>
        <w:tc>
          <w:tcPr>
            <w:tcW w:w="913" w:type="dxa"/>
            <w:shd w:val="clear" w:color="auto" w:fill="auto"/>
            <w:vAlign w:val="center"/>
          </w:tcPr>
          <w:p w14:paraId="5B50BD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99" w:type="dxa"/>
            <w:shd w:val="clear" w:color="auto" w:fill="auto"/>
            <w:vAlign w:val="center"/>
          </w:tcPr>
          <w:p w14:paraId="437BA0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中共木垒哈萨克自治县委员会统一战线工作部2023年工作计划</w:t>
            </w:r>
          </w:p>
        </w:tc>
        <w:tc>
          <w:tcPr>
            <w:tcW w:w="709" w:type="dxa"/>
            <w:shd w:val="clear" w:color="auto" w:fill="auto"/>
            <w:vAlign w:val="center"/>
          </w:tcPr>
          <w:p w14:paraId="78C05A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184" w:type="dxa"/>
            <w:shd w:val="clear" w:color="auto" w:fill="auto"/>
            <w:vAlign w:val="center"/>
          </w:tcPr>
          <w:p w14:paraId="066535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701" w:type="dxa"/>
            <w:shd w:val="clear" w:color="auto" w:fill="auto"/>
            <w:vAlign w:val="center"/>
          </w:tcPr>
          <w:p w14:paraId="73AF8A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6C40D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90" w:type="dxa"/>
            <w:vMerge w:val="restart"/>
            <w:shd w:val="clear" w:color="auto" w:fill="auto"/>
            <w:vAlign w:val="center"/>
          </w:tcPr>
          <w:p w14:paraId="397853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913" w:type="dxa"/>
            <w:shd w:val="clear" w:color="auto" w:fill="auto"/>
            <w:vAlign w:val="center"/>
          </w:tcPr>
          <w:p w14:paraId="5821C8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913" w:type="dxa"/>
            <w:shd w:val="clear" w:color="auto" w:fill="auto"/>
            <w:vAlign w:val="center"/>
          </w:tcPr>
          <w:p w14:paraId="231E9A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组织民族团结进步“互关互学”观摩会</w:t>
            </w:r>
          </w:p>
        </w:tc>
        <w:tc>
          <w:tcPr>
            <w:tcW w:w="913" w:type="dxa"/>
            <w:shd w:val="clear" w:color="auto" w:fill="auto"/>
            <w:vAlign w:val="center"/>
          </w:tcPr>
          <w:p w14:paraId="681A28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&gt;=1次</w:t>
            </w:r>
          </w:p>
        </w:tc>
        <w:tc>
          <w:tcPr>
            <w:tcW w:w="1499" w:type="dxa"/>
            <w:shd w:val="clear" w:color="auto" w:fill="auto"/>
            <w:vAlign w:val="center"/>
          </w:tcPr>
          <w:p w14:paraId="4E87BE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中共木垒哈萨克自治县委员会统一战线工作部2023年工作计划</w:t>
            </w:r>
          </w:p>
        </w:tc>
        <w:tc>
          <w:tcPr>
            <w:tcW w:w="709" w:type="dxa"/>
            <w:shd w:val="clear" w:color="auto" w:fill="auto"/>
            <w:vAlign w:val="center"/>
          </w:tcPr>
          <w:p w14:paraId="4890E5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1184" w:type="dxa"/>
            <w:shd w:val="clear" w:color="auto" w:fill="auto"/>
            <w:vAlign w:val="center"/>
          </w:tcPr>
          <w:p w14:paraId="79B423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1次</w:t>
            </w:r>
          </w:p>
        </w:tc>
        <w:tc>
          <w:tcPr>
            <w:tcW w:w="1701" w:type="dxa"/>
            <w:shd w:val="clear" w:color="auto" w:fill="auto"/>
            <w:vAlign w:val="center"/>
          </w:tcPr>
          <w:p w14:paraId="0EC665E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0BFF9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90" w:type="dxa"/>
            <w:vMerge w:val="continue"/>
            <w:vAlign w:val="center"/>
          </w:tcPr>
          <w:p w14:paraId="0DA6496D">
            <w:pPr>
              <w:widowControl/>
              <w:jc w:val="left"/>
              <w:rPr>
                <w:rFonts w:hint="eastAsia" w:cs="宋体" w:asciiTheme="minorEastAsia" w:hAnsiTheme="minorEastAsia" w:eastAsiaTheme="minorEastAsia"/>
                <w:kern w:val="0"/>
                <w:sz w:val="20"/>
                <w:szCs w:val="20"/>
              </w:rPr>
            </w:pPr>
          </w:p>
        </w:tc>
        <w:tc>
          <w:tcPr>
            <w:tcW w:w="913" w:type="dxa"/>
            <w:vMerge w:val="restart"/>
            <w:shd w:val="clear" w:color="auto" w:fill="auto"/>
            <w:vAlign w:val="center"/>
          </w:tcPr>
          <w:p w14:paraId="3F5BA1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913" w:type="dxa"/>
            <w:shd w:val="clear" w:color="auto" w:fill="auto"/>
            <w:vAlign w:val="center"/>
          </w:tcPr>
          <w:p w14:paraId="39519E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开展国家通用语言文字培训活动及时率</w:t>
            </w:r>
          </w:p>
        </w:tc>
        <w:tc>
          <w:tcPr>
            <w:tcW w:w="913" w:type="dxa"/>
            <w:shd w:val="clear" w:color="auto" w:fill="auto"/>
            <w:vAlign w:val="center"/>
          </w:tcPr>
          <w:p w14:paraId="0B4BAC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99" w:type="dxa"/>
            <w:shd w:val="clear" w:color="auto" w:fill="auto"/>
            <w:vAlign w:val="center"/>
          </w:tcPr>
          <w:p w14:paraId="71204E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中共木垒哈萨克自治县委员会统一战线工作部2023年工作计划</w:t>
            </w:r>
          </w:p>
        </w:tc>
        <w:tc>
          <w:tcPr>
            <w:tcW w:w="709" w:type="dxa"/>
            <w:shd w:val="clear" w:color="auto" w:fill="auto"/>
            <w:vAlign w:val="center"/>
          </w:tcPr>
          <w:p w14:paraId="7F77AD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1184" w:type="dxa"/>
            <w:shd w:val="clear" w:color="auto" w:fill="auto"/>
            <w:vAlign w:val="center"/>
          </w:tcPr>
          <w:p w14:paraId="2D3A64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701" w:type="dxa"/>
            <w:shd w:val="clear" w:color="auto" w:fill="auto"/>
            <w:vAlign w:val="center"/>
          </w:tcPr>
          <w:p w14:paraId="342860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24906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90" w:type="dxa"/>
            <w:shd w:val="clear" w:color="auto" w:fill="auto"/>
            <w:noWrap/>
            <w:vAlign w:val="center"/>
          </w:tcPr>
          <w:p w14:paraId="680643E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913" w:type="dxa"/>
            <w:vMerge w:val="continue"/>
            <w:vAlign w:val="center"/>
          </w:tcPr>
          <w:p w14:paraId="5367CF21">
            <w:pPr>
              <w:widowControl/>
              <w:jc w:val="left"/>
              <w:rPr>
                <w:rFonts w:hint="eastAsia" w:cs="宋体" w:asciiTheme="minorEastAsia" w:hAnsiTheme="minorEastAsia" w:eastAsiaTheme="minorEastAsia"/>
                <w:kern w:val="0"/>
                <w:sz w:val="20"/>
                <w:szCs w:val="20"/>
              </w:rPr>
            </w:pPr>
          </w:p>
        </w:tc>
        <w:tc>
          <w:tcPr>
            <w:tcW w:w="913" w:type="dxa"/>
            <w:shd w:val="clear" w:color="auto" w:fill="auto"/>
            <w:noWrap/>
            <w:vAlign w:val="center"/>
          </w:tcPr>
          <w:p w14:paraId="5082198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举办“十个一次”活动持续时间</w:t>
            </w:r>
          </w:p>
        </w:tc>
        <w:tc>
          <w:tcPr>
            <w:tcW w:w="913" w:type="dxa"/>
            <w:shd w:val="clear" w:color="auto" w:fill="auto"/>
            <w:noWrap/>
            <w:vAlign w:val="center"/>
          </w:tcPr>
          <w:p w14:paraId="2A192EA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&gt;=1年</w:t>
            </w:r>
          </w:p>
        </w:tc>
        <w:tc>
          <w:tcPr>
            <w:tcW w:w="1499" w:type="dxa"/>
            <w:shd w:val="clear" w:color="auto" w:fill="auto"/>
            <w:noWrap/>
            <w:vAlign w:val="center"/>
          </w:tcPr>
          <w:p w14:paraId="231F666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中共木垒哈萨克自治县委员会统一战线工作部2023年工作计划</w:t>
            </w:r>
          </w:p>
        </w:tc>
        <w:tc>
          <w:tcPr>
            <w:tcW w:w="709" w:type="dxa"/>
            <w:shd w:val="clear" w:color="auto" w:fill="auto"/>
            <w:noWrap/>
            <w:vAlign w:val="center"/>
          </w:tcPr>
          <w:p w14:paraId="06A85DE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1184" w:type="dxa"/>
            <w:shd w:val="clear" w:color="auto" w:fill="auto"/>
            <w:noWrap/>
            <w:vAlign w:val="center"/>
          </w:tcPr>
          <w:p w14:paraId="0428252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1年</w:t>
            </w:r>
          </w:p>
        </w:tc>
        <w:tc>
          <w:tcPr>
            <w:tcW w:w="1701" w:type="dxa"/>
            <w:shd w:val="clear" w:color="auto" w:fill="auto"/>
            <w:noWrap/>
            <w:vAlign w:val="center"/>
          </w:tcPr>
          <w:p w14:paraId="132599F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bl>
    <w:p w14:paraId="3FE6A52F">
      <w:pPr>
        <w:ind w:firstLine="640" w:firstLineChars="200"/>
        <w:jc w:val="left"/>
        <w:rPr>
          <w:rFonts w:hint="eastAsia" w:ascii="黑体" w:hAnsi="黑体" w:eastAsia="黑体" w:cs="宋体"/>
          <w:bCs/>
          <w:kern w:val="0"/>
          <w:sz w:val="32"/>
          <w:szCs w:val="32"/>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836"/>
        <w:gridCol w:w="283"/>
        <w:gridCol w:w="1276"/>
        <w:gridCol w:w="283"/>
        <w:gridCol w:w="1134"/>
        <w:gridCol w:w="1134"/>
        <w:gridCol w:w="851"/>
        <w:gridCol w:w="142"/>
        <w:gridCol w:w="567"/>
        <w:gridCol w:w="362"/>
        <w:gridCol w:w="822"/>
      </w:tblGrid>
      <w:tr w14:paraId="7560B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522" w:type="dxa"/>
            <w:gridSpan w:val="13"/>
            <w:shd w:val="clear" w:color="auto" w:fill="auto"/>
            <w:vAlign w:val="center"/>
          </w:tcPr>
          <w:p w14:paraId="0E5BDE02">
            <w:pPr>
              <w:widowControl/>
              <w:jc w:val="center"/>
              <w:rPr>
                <w:rFonts w:hint="eastAsia" w:ascii="宋体" w:hAnsi="宋体" w:cs="宋体"/>
                <w:b/>
                <w:bCs/>
                <w:color w:val="000000"/>
                <w:kern w:val="0"/>
                <w:sz w:val="36"/>
                <w:szCs w:val="36"/>
              </w:rPr>
            </w:pPr>
            <w:r>
              <w:rPr>
                <w:rFonts w:hint="eastAsia" w:ascii="宋体" w:hAnsi="宋体" w:cs="宋体"/>
                <w:b/>
                <w:bCs/>
                <w:color w:val="000000"/>
                <w:kern w:val="0"/>
                <w:sz w:val="36"/>
                <w:szCs w:val="36"/>
              </w:rPr>
              <w:t>项目支出绩效自评表</w:t>
            </w:r>
          </w:p>
        </w:tc>
      </w:tr>
      <w:tr w14:paraId="09270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522" w:type="dxa"/>
            <w:gridSpan w:val="13"/>
            <w:shd w:val="clear" w:color="auto" w:fill="auto"/>
            <w:vAlign w:val="center"/>
          </w:tcPr>
          <w:p w14:paraId="1A27EFC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2023年度</w:t>
            </w:r>
            <w:r>
              <w:rPr>
                <w:rFonts w:hint="eastAsia" w:ascii="宋体" w:hAnsi="宋体" w:cs="宋体"/>
                <w:color w:val="000000"/>
                <w:kern w:val="0"/>
                <w:sz w:val="20"/>
                <w:szCs w:val="20"/>
                <w:lang w:eastAsia="zh-CN"/>
              </w:rPr>
              <w:t>）</w:t>
            </w:r>
          </w:p>
        </w:tc>
      </w:tr>
      <w:tr w14:paraId="3B386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32" w:type="dxa"/>
            <w:gridSpan w:val="2"/>
            <w:shd w:val="clear" w:color="auto" w:fill="auto"/>
            <w:vAlign w:val="center"/>
          </w:tcPr>
          <w:p w14:paraId="3A7CD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14:paraId="61EF7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木垒县2023年低氟边销茶入户项目</w:t>
            </w:r>
          </w:p>
        </w:tc>
      </w:tr>
      <w:tr w14:paraId="64CCB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32" w:type="dxa"/>
            <w:gridSpan w:val="2"/>
            <w:shd w:val="clear" w:color="auto" w:fill="auto"/>
            <w:vAlign w:val="center"/>
          </w:tcPr>
          <w:p w14:paraId="7EB9B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12" w:type="dxa"/>
            <w:gridSpan w:val="5"/>
            <w:shd w:val="clear" w:color="auto" w:fill="auto"/>
            <w:vAlign w:val="center"/>
          </w:tcPr>
          <w:p w14:paraId="363AF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中共木垒哈萨克自治县委员会统一战线工作部</w:t>
            </w:r>
          </w:p>
        </w:tc>
        <w:tc>
          <w:tcPr>
            <w:tcW w:w="1134" w:type="dxa"/>
            <w:shd w:val="clear" w:color="auto" w:fill="auto"/>
            <w:vAlign w:val="center"/>
          </w:tcPr>
          <w:p w14:paraId="0E55B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4" w:type="dxa"/>
            <w:gridSpan w:val="5"/>
            <w:shd w:val="clear" w:color="auto" w:fill="auto"/>
            <w:vAlign w:val="center"/>
          </w:tcPr>
          <w:p w14:paraId="0A045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中共木垒哈萨克自治县委员会统一战线工作部</w:t>
            </w:r>
          </w:p>
        </w:tc>
      </w:tr>
      <w:tr w14:paraId="508BA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32" w:type="dxa"/>
            <w:gridSpan w:val="2"/>
            <w:vMerge w:val="restart"/>
            <w:shd w:val="clear" w:color="auto" w:fill="auto"/>
            <w:vAlign w:val="center"/>
          </w:tcPr>
          <w:p w14:paraId="1B91C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shd w:val="clear" w:color="auto" w:fill="auto"/>
            <w:vAlign w:val="center"/>
          </w:tcPr>
          <w:p w14:paraId="41CCF396">
            <w:pPr>
              <w:widowControl/>
              <w:jc w:val="center"/>
              <w:rPr>
                <w:rFonts w:hint="eastAsia" w:ascii="宋体" w:hAnsi="宋体" w:cs="宋体"/>
                <w:color w:val="000000"/>
                <w:kern w:val="0"/>
                <w:sz w:val="20"/>
                <w:szCs w:val="20"/>
              </w:rPr>
            </w:pPr>
          </w:p>
        </w:tc>
        <w:tc>
          <w:tcPr>
            <w:tcW w:w="1559" w:type="dxa"/>
            <w:gridSpan w:val="2"/>
            <w:shd w:val="clear" w:color="auto" w:fill="auto"/>
            <w:vAlign w:val="center"/>
          </w:tcPr>
          <w:p w14:paraId="6EA99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7" w:type="dxa"/>
            <w:gridSpan w:val="2"/>
            <w:shd w:val="clear" w:color="auto" w:fill="auto"/>
            <w:vAlign w:val="center"/>
          </w:tcPr>
          <w:p w14:paraId="7BFAF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shd w:val="clear" w:color="auto" w:fill="auto"/>
            <w:vAlign w:val="center"/>
          </w:tcPr>
          <w:p w14:paraId="666BC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93" w:type="dxa"/>
            <w:gridSpan w:val="2"/>
            <w:shd w:val="clear" w:color="auto" w:fill="auto"/>
            <w:vAlign w:val="center"/>
          </w:tcPr>
          <w:p w14:paraId="4FC4C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shd w:val="clear" w:color="auto" w:fill="auto"/>
            <w:vAlign w:val="center"/>
          </w:tcPr>
          <w:p w14:paraId="4A27F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2" w:type="dxa"/>
            <w:shd w:val="clear" w:color="auto" w:fill="auto"/>
            <w:vAlign w:val="center"/>
          </w:tcPr>
          <w:p w14:paraId="79FBE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1043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32" w:type="dxa"/>
            <w:gridSpan w:val="2"/>
            <w:vMerge w:val="continue"/>
            <w:vAlign w:val="center"/>
          </w:tcPr>
          <w:p w14:paraId="19B8CA0A">
            <w:pPr>
              <w:widowControl/>
              <w:jc w:val="left"/>
              <w:rPr>
                <w:rFonts w:hint="eastAsia" w:ascii="宋体" w:hAnsi="宋体" w:cs="宋体"/>
                <w:color w:val="000000"/>
                <w:kern w:val="0"/>
                <w:sz w:val="20"/>
                <w:szCs w:val="20"/>
              </w:rPr>
            </w:pPr>
          </w:p>
        </w:tc>
        <w:tc>
          <w:tcPr>
            <w:tcW w:w="836" w:type="dxa"/>
            <w:shd w:val="clear" w:color="auto" w:fill="auto"/>
            <w:vAlign w:val="center"/>
          </w:tcPr>
          <w:p w14:paraId="612B9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59" w:type="dxa"/>
            <w:gridSpan w:val="2"/>
            <w:shd w:val="clear" w:color="auto" w:fill="auto"/>
            <w:vAlign w:val="center"/>
          </w:tcPr>
          <w:p w14:paraId="600144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417" w:type="dxa"/>
            <w:gridSpan w:val="2"/>
            <w:shd w:val="clear" w:color="auto" w:fill="auto"/>
            <w:vAlign w:val="center"/>
          </w:tcPr>
          <w:p w14:paraId="2BBFE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134" w:type="dxa"/>
            <w:shd w:val="clear" w:color="auto" w:fill="auto"/>
            <w:vAlign w:val="center"/>
          </w:tcPr>
          <w:p w14:paraId="7B4CB4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993" w:type="dxa"/>
            <w:gridSpan w:val="2"/>
            <w:shd w:val="clear" w:color="auto" w:fill="auto"/>
            <w:vAlign w:val="center"/>
          </w:tcPr>
          <w:p w14:paraId="48C67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shd w:val="clear" w:color="auto" w:fill="auto"/>
            <w:vAlign w:val="center"/>
          </w:tcPr>
          <w:p w14:paraId="00D74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2" w:type="dxa"/>
            <w:shd w:val="clear" w:color="auto" w:fill="auto"/>
            <w:vAlign w:val="center"/>
          </w:tcPr>
          <w:p w14:paraId="5EB85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B7C5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32" w:type="dxa"/>
            <w:gridSpan w:val="2"/>
            <w:vMerge w:val="continue"/>
            <w:vAlign w:val="center"/>
          </w:tcPr>
          <w:p w14:paraId="793AF11A">
            <w:pPr>
              <w:widowControl/>
              <w:jc w:val="left"/>
              <w:rPr>
                <w:rFonts w:hint="eastAsia" w:ascii="宋体" w:hAnsi="宋体" w:cs="宋体"/>
                <w:color w:val="000000"/>
                <w:kern w:val="0"/>
                <w:sz w:val="20"/>
                <w:szCs w:val="20"/>
              </w:rPr>
            </w:pPr>
          </w:p>
        </w:tc>
        <w:tc>
          <w:tcPr>
            <w:tcW w:w="836" w:type="dxa"/>
            <w:shd w:val="clear" w:color="auto" w:fill="auto"/>
            <w:vAlign w:val="center"/>
          </w:tcPr>
          <w:p w14:paraId="65407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59" w:type="dxa"/>
            <w:gridSpan w:val="2"/>
            <w:shd w:val="clear" w:color="auto" w:fill="auto"/>
            <w:vAlign w:val="center"/>
          </w:tcPr>
          <w:p w14:paraId="745B7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417" w:type="dxa"/>
            <w:gridSpan w:val="2"/>
            <w:shd w:val="clear" w:color="auto" w:fill="auto"/>
            <w:vAlign w:val="center"/>
          </w:tcPr>
          <w:p w14:paraId="74E69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134" w:type="dxa"/>
            <w:shd w:val="clear" w:color="auto" w:fill="auto"/>
            <w:vAlign w:val="center"/>
          </w:tcPr>
          <w:p w14:paraId="4C8BB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993" w:type="dxa"/>
            <w:gridSpan w:val="2"/>
            <w:shd w:val="clear" w:color="auto" w:fill="auto"/>
            <w:vAlign w:val="center"/>
          </w:tcPr>
          <w:p w14:paraId="26EF3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shd w:val="clear" w:color="auto" w:fill="auto"/>
            <w:vAlign w:val="center"/>
          </w:tcPr>
          <w:p w14:paraId="4136D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2" w:type="dxa"/>
            <w:shd w:val="clear" w:color="auto" w:fill="auto"/>
            <w:vAlign w:val="center"/>
          </w:tcPr>
          <w:p w14:paraId="6F7DE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1C3B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32" w:type="dxa"/>
            <w:gridSpan w:val="2"/>
            <w:vMerge w:val="continue"/>
            <w:vAlign w:val="center"/>
          </w:tcPr>
          <w:p w14:paraId="235B2E6C">
            <w:pPr>
              <w:widowControl/>
              <w:jc w:val="left"/>
              <w:rPr>
                <w:rFonts w:hint="eastAsia" w:ascii="宋体" w:hAnsi="宋体" w:cs="宋体"/>
                <w:color w:val="000000"/>
                <w:kern w:val="0"/>
                <w:sz w:val="20"/>
                <w:szCs w:val="20"/>
              </w:rPr>
            </w:pPr>
          </w:p>
        </w:tc>
        <w:tc>
          <w:tcPr>
            <w:tcW w:w="836" w:type="dxa"/>
            <w:shd w:val="clear" w:color="auto" w:fill="auto"/>
            <w:vAlign w:val="center"/>
          </w:tcPr>
          <w:p w14:paraId="7C1097CF">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559" w:type="dxa"/>
            <w:gridSpan w:val="2"/>
            <w:shd w:val="clear" w:color="auto" w:fill="auto"/>
            <w:vAlign w:val="center"/>
          </w:tcPr>
          <w:p w14:paraId="239CD15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7" w:type="dxa"/>
            <w:gridSpan w:val="2"/>
            <w:shd w:val="clear" w:color="auto" w:fill="auto"/>
            <w:vAlign w:val="center"/>
          </w:tcPr>
          <w:p w14:paraId="5217DB3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7842647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3" w:type="dxa"/>
            <w:gridSpan w:val="2"/>
            <w:shd w:val="clear" w:color="auto" w:fill="auto"/>
            <w:vAlign w:val="center"/>
          </w:tcPr>
          <w:p w14:paraId="2614F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shd w:val="clear" w:color="auto" w:fill="auto"/>
            <w:vAlign w:val="center"/>
          </w:tcPr>
          <w:p w14:paraId="0C607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2" w:type="dxa"/>
            <w:shd w:val="clear" w:color="auto" w:fill="auto"/>
            <w:vAlign w:val="center"/>
          </w:tcPr>
          <w:p w14:paraId="6C5F5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F2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6BB56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28" w:type="dxa"/>
            <w:gridSpan w:val="6"/>
            <w:shd w:val="clear" w:color="auto" w:fill="auto"/>
            <w:vAlign w:val="center"/>
          </w:tcPr>
          <w:p w14:paraId="29AC7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878" w:type="dxa"/>
            <w:gridSpan w:val="6"/>
            <w:shd w:val="clear" w:color="auto" w:fill="auto"/>
            <w:vAlign w:val="center"/>
          </w:tcPr>
          <w:p w14:paraId="5774F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4376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416" w:type="dxa"/>
            <w:vMerge w:val="continue"/>
            <w:vAlign w:val="center"/>
          </w:tcPr>
          <w:p w14:paraId="2013688E">
            <w:pPr>
              <w:widowControl/>
              <w:jc w:val="left"/>
              <w:rPr>
                <w:rFonts w:hint="eastAsia" w:ascii="宋体" w:hAnsi="宋体" w:cs="宋体"/>
                <w:color w:val="000000"/>
                <w:kern w:val="0"/>
                <w:sz w:val="20"/>
                <w:szCs w:val="20"/>
              </w:rPr>
            </w:pPr>
          </w:p>
        </w:tc>
        <w:tc>
          <w:tcPr>
            <w:tcW w:w="4228" w:type="dxa"/>
            <w:gridSpan w:val="6"/>
            <w:shd w:val="clear" w:color="auto" w:fill="auto"/>
          </w:tcPr>
          <w:p w14:paraId="239ED0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w:t>
            </w:r>
            <w:r>
              <w:rPr>
                <w:rFonts w:hint="eastAsia" w:ascii="宋体" w:hAnsi="宋体" w:cs="宋体"/>
                <w:color w:val="000000"/>
                <w:kern w:val="0"/>
                <w:sz w:val="20"/>
                <w:szCs w:val="20"/>
                <w:lang w:eastAsia="zh-CN"/>
              </w:rPr>
              <w:t>〔2022〕52号</w:t>
            </w:r>
            <w:r>
              <w:rPr>
                <w:rFonts w:hint="eastAsia" w:ascii="宋体" w:hAnsi="宋体" w:cs="宋体"/>
                <w:color w:val="000000"/>
                <w:kern w:val="0"/>
                <w:sz w:val="20"/>
                <w:szCs w:val="20"/>
              </w:rPr>
              <w:t>文件，使用2023年中央财政衔接推进乡村振兴补助资金，实施木垒县2023年低氟边销茶入户项目，项目实施后，能够有利于当地群众保持各种维生素需求，保持身体健康。</w:t>
            </w:r>
          </w:p>
        </w:tc>
        <w:tc>
          <w:tcPr>
            <w:tcW w:w="3878" w:type="dxa"/>
            <w:gridSpan w:val="6"/>
            <w:shd w:val="clear" w:color="auto" w:fill="auto"/>
          </w:tcPr>
          <w:p w14:paraId="1EB657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截止本项目完成时限，我单位针对本项目已完成如下工作：为1400户发放4546盒边销茶。项目实施后，有利于当地群众保持各种维生素需求，保持身体健康。</w:t>
            </w:r>
          </w:p>
        </w:tc>
      </w:tr>
      <w:tr w14:paraId="19E94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6BD03F9C">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2F254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9" w:type="dxa"/>
            <w:gridSpan w:val="2"/>
            <w:vMerge w:val="restart"/>
            <w:shd w:val="clear" w:color="auto" w:fill="auto"/>
            <w:vAlign w:val="center"/>
          </w:tcPr>
          <w:p w14:paraId="43C39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59" w:type="dxa"/>
            <w:gridSpan w:val="2"/>
            <w:vMerge w:val="restart"/>
            <w:shd w:val="clear" w:color="auto" w:fill="auto"/>
            <w:vAlign w:val="center"/>
          </w:tcPr>
          <w:p w14:paraId="41CCF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vMerge w:val="restart"/>
            <w:shd w:val="clear" w:color="auto" w:fill="auto"/>
            <w:vAlign w:val="center"/>
          </w:tcPr>
          <w:p w14:paraId="6E3D6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14:paraId="43B76A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1" w:type="dxa"/>
            <w:vMerge w:val="restart"/>
            <w:shd w:val="clear" w:color="auto" w:fill="auto"/>
            <w:vAlign w:val="center"/>
          </w:tcPr>
          <w:p w14:paraId="6E8CA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gridSpan w:val="2"/>
            <w:vMerge w:val="restart"/>
            <w:shd w:val="clear" w:color="auto" w:fill="auto"/>
            <w:vAlign w:val="center"/>
          </w:tcPr>
          <w:p w14:paraId="24B76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gridSpan w:val="2"/>
            <w:vMerge w:val="restart"/>
            <w:shd w:val="clear" w:color="auto" w:fill="auto"/>
            <w:vAlign w:val="center"/>
          </w:tcPr>
          <w:p w14:paraId="2B7DF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A51D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25847D1D">
            <w:pPr>
              <w:widowControl/>
              <w:jc w:val="left"/>
              <w:rPr>
                <w:rFonts w:hint="eastAsia" w:ascii="宋体" w:hAnsi="宋体" w:cs="宋体"/>
                <w:color w:val="000000"/>
                <w:kern w:val="0"/>
                <w:sz w:val="20"/>
                <w:szCs w:val="20"/>
              </w:rPr>
            </w:pPr>
          </w:p>
        </w:tc>
        <w:tc>
          <w:tcPr>
            <w:tcW w:w="416" w:type="dxa"/>
            <w:vMerge w:val="continue"/>
            <w:vAlign w:val="center"/>
          </w:tcPr>
          <w:p w14:paraId="66C0832C">
            <w:pPr>
              <w:widowControl/>
              <w:jc w:val="left"/>
              <w:rPr>
                <w:rFonts w:hint="eastAsia" w:ascii="宋体" w:hAnsi="宋体" w:cs="宋体"/>
                <w:color w:val="000000"/>
                <w:kern w:val="0"/>
                <w:sz w:val="20"/>
                <w:szCs w:val="20"/>
              </w:rPr>
            </w:pPr>
          </w:p>
        </w:tc>
        <w:tc>
          <w:tcPr>
            <w:tcW w:w="1119" w:type="dxa"/>
            <w:gridSpan w:val="2"/>
            <w:vMerge w:val="continue"/>
            <w:vAlign w:val="center"/>
          </w:tcPr>
          <w:p w14:paraId="02750D53">
            <w:pPr>
              <w:widowControl/>
              <w:jc w:val="left"/>
              <w:rPr>
                <w:rFonts w:hint="eastAsia" w:ascii="宋体" w:hAnsi="宋体" w:cs="宋体"/>
                <w:color w:val="000000"/>
                <w:kern w:val="0"/>
                <w:sz w:val="20"/>
                <w:szCs w:val="20"/>
              </w:rPr>
            </w:pPr>
          </w:p>
        </w:tc>
        <w:tc>
          <w:tcPr>
            <w:tcW w:w="1559" w:type="dxa"/>
            <w:gridSpan w:val="2"/>
            <w:vMerge w:val="continue"/>
            <w:vAlign w:val="center"/>
          </w:tcPr>
          <w:p w14:paraId="5F8CD090">
            <w:pPr>
              <w:widowControl/>
              <w:jc w:val="left"/>
              <w:rPr>
                <w:rFonts w:hint="eastAsia" w:ascii="宋体" w:hAnsi="宋体" w:cs="宋体"/>
                <w:color w:val="000000"/>
                <w:kern w:val="0"/>
                <w:sz w:val="20"/>
                <w:szCs w:val="20"/>
              </w:rPr>
            </w:pPr>
          </w:p>
        </w:tc>
        <w:tc>
          <w:tcPr>
            <w:tcW w:w="1134" w:type="dxa"/>
            <w:vMerge w:val="continue"/>
            <w:vAlign w:val="center"/>
          </w:tcPr>
          <w:p w14:paraId="382A12FC">
            <w:pPr>
              <w:widowControl/>
              <w:jc w:val="left"/>
              <w:rPr>
                <w:rFonts w:hint="eastAsia" w:ascii="宋体" w:hAnsi="宋体" w:cs="宋体"/>
                <w:color w:val="000000"/>
                <w:kern w:val="0"/>
                <w:sz w:val="20"/>
                <w:szCs w:val="20"/>
              </w:rPr>
            </w:pPr>
          </w:p>
        </w:tc>
        <w:tc>
          <w:tcPr>
            <w:tcW w:w="1134" w:type="dxa"/>
            <w:vMerge w:val="continue"/>
            <w:vAlign w:val="center"/>
          </w:tcPr>
          <w:p w14:paraId="412722E4">
            <w:pPr>
              <w:widowControl/>
              <w:jc w:val="left"/>
              <w:rPr>
                <w:rFonts w:hint="eastAsia" w:ascii="宋体" w:hAnsi="宋体" w:cs="宋体"/>
                <w:color w:val="000000"/>
                <w:kern w:val="0"/>
                <w:sz w:val="20"/>
                <w:szCs w:val="20"/>
              </w:rPr>
            </w:pPr>
          </w:p>
        </w:tc>
        <w:tc>
          <w:tcPr>
            <w:tcW w:w="851" w:type="dxa"/>
            <w:vMerge w:val="continue"/>
            <w:vAlign w:val="center"/>
          </w:tcPr>
          <w:p w14:paraId="15725A66">
            <w:pPr>
              <w:widowControl/>
              <w:jc w:val="left"/>
              <w:rPr>
                <w:rFonts w:hint="eastAsia" w:ascii="宋体" w:hAnsi="宋体" w:cs="宋体"/>
                <w:color w:val="000000"/>
                <w:kern w:val="0"/>
                <w:sz w:val="20"/>
                <w:szCs w:val="20"/>
              </w:rPr>
            </w:pPr>
          </w:p>
        </w:tc>
        <w:tc>
          <w:tcPr>
            <w:tcW w:w="709" w:type="dxa"/>
            <w:gridSpan w:val="2"/>
            <w:vMerge w:val="continue"/>
            <w:vAlign w:val="center"/>
          </w:tcPr>
          <w:p w14:paraId="5F02BF2A">
            <w:pPr>
              <w:widowControl/>
              <w:jc w:val="left"/>
              <w:rPr>
                <w:rFonts w:hint="eastAsia" w:ascii="宋体" w:hAnsi="宋体" w:cs="宋体"/>
                <w:color w:val="000000"/>
                <w:kern w:val="0"/>
                <w:sz w:val="20"/>
                <w:szCs w:val="20"/>
              </w:rPr>
            </w:pPr>
          </w:p>
        </w:tc>
        <w:tc>
          <w:tcPr>
            <w:tcW w:w="1184" w:type="dxa"/>
            <w:gridSpan w:val="2"/>
            <w:vMerge w:val="continue"/>
            <w:vAlign w:val="center"/>
          </w:tcPr>
          <w:p w14:paraId="076C8C5F">
            <w:pPr>
              <w:widowControl/>
              <w:jc w:val="left"/>
              <w:rPr>
                <w:rFonts w:hint="eastAsia" w:ascii="宋体" w:hAnsi="宋体" w:cs="宋体"/>
                <w:color w:val="000000"/>
                <w:kern w:val="0"/>
                <w:sz w:val="20"/>
                <w:szCs w:val="20"/>
              </w:rPr>
            </w:pPr>
          </w:p>
        </w:tc>
      </w:tr>
      <w:tr w14:paraId="1C7D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restart"/>
            <w:shd w:val="clear" w:color="auto" w:fill="auto"/>
            <w:vAlign w:val="center"/>
          </w:tcPr>
          <w:p w14:paraId="5FDA71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5A384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9" w:type="dxa"/>
            <w:gridSpan w:val="2"/>
            <w:shd w:val="clear" w:color="auto" w:fill="auto"/>
            <w:vAlign w:val="center"/>
          </w:tcPr>
          <w:p w14:paraId="3C216E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698B35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发放边销茶数量</w:t>
            </w:r>
          </w:p>
        </w:tc>
        <w:tc>
          <w:tcPr>
            <w:tcW w:w="1134" w:type="dxa"/>
            <w:shd w:val="clear" w:color="auto" w:fill="auto"/>
            <w:vAlign w:val="center"/>
          </w:tcPr>
          <w:p w14:paraId="1C9C6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&gt;=4546盒</w:t>
            </w:r>
          </w:p>
        </w:tc>
        <w:tc>
          <w:tcPr>
            <w:tcW w:w="1134" w:type="dxa"/>
            <w:shd w:val="clear" w:color="auto" w:fill="auto"/>
            <w:vAlign w:val="center"/>
          </w:tcPr>
          <w:p w14:paraId="37D48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=4546盒</w:t>
            </w:r>
          </w:p>
        </w:tc>
        <w:tc>
          <w:tcPr>
            <w:tcW w:w="851" w:type="dxa"/>
            <w:shd w:val="clear" w:color="auto" w:fill="auto"/>
            <w:vAlign w:val="center"/>
          </w:tcPr>
          <w:p w14:paraId="70819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14:paraId="37AF2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shd w:val="clear" w:color="auto" w:fill="auto"/>
            <w:vAlign w:val="center"/>
          </w:tcPr>
          <w:p w14:paraId="559DA984">
            <w:pPr>
              <w:widowControl/>
              <w:jc w:val="center"/>
              <w:rPr>
                <w:rFonts w:hint="eastAsia" w:ascii="宋体" w:hAnsi="宋体" w:cs="宋体"/>
                <w:color w:val="000000"/>
                <w:kern w:val="0"/>
                <w:sz w:val="20"/>
                <w:szCs w:val="20"/>
              </w:rPr>
            </w:pPr>
          </w:p>
        </w:tc>
      </w:tr>
      <w:tr w14:paraId="24C48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03328EA8">
            <w:pPr>
              <w:widowControl/>
              <w:jc w:val="left"/>
              <w:rPr>
                <w:rFonts w:hint="eastAsia" w:ascii="宋体" w:hAnsi="宋体" w:cs="宋体"/>
                <w:color w:val="000000"/>
                <w:kern w:val="0"/>
                <w:sz w:val="20"/>
                <w:szCs w:val="20"/>
              </w:rPr>
            </w:pPr>
          </w:p>
        </w:tc>
        <w:tc>
          <w:tcPr>
            <w:tcW w:w="416" w:type="dxa"/>
            <w:vMerge w:val="continue"/>
            <w:vAlign w:val="center"/>
          </w:tcPr>
          <w:p w14:paraId="459769FE">
            <w:pPr>
              <w:widowControl/>
              <w:jc w:val="left"/>
              <w:rPr>
                <w:rFonts w:hint="eastAsia" w:ascii="宋体" w:hAnsi="宋体" w:cs="宋体"/>
                <w:color w:val="000000"/>
                <w:kern w:val="0"/>
                <w:sz w:val="20"/>
                <w:szCs w:val="20"/>
              </w:rPr>
            </w:pPr>
          </w:p>
        </w:tc>
        <w:tc>
          <w:tcPr>
            <w:tcW w:w="1119" w:type="dxa"/>
            <w:gridSpan w:val="2"/>
            <w:shd w:val="clear" w:color="auto" w:fill="auto"/>
            <w:vAlign w:val="center"/>
          </w:tcPr>
          <w:p w14:paraId="5CCA2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514D96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发放边销茶特困户数量</w:t>
            </w:r>
          </w:p>
        </w:tc>
        <w:tc>
          <w:tcPr>
            <w:tcW w:w="1134" w:type="dxa"/>
            <w:shd w:val="clear" w:color="auto" w:fill="auto"/>
            <w:vAlign w:val="center"/>
          </w:tcPr>
          <w:p w14:paraId="28884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&gt;=1400户</w:t>
            </w:r>
          </w:p>
        </w:tc>
        <w:tc>
          <w:tcPr>
            <w:tcW w:w="1134" w:type="dxa"/>
            <w:shd w:val="clear" w:color="auto" w:fill="auto"/>
            <w:vAlign w:val="center"/>
          </w:tcPr>
          <w:p w14:paraId="0E6ED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=1400户</w:t>
            </w:r>
          </w:p>
        </w:tc>
        <w:tc>
          <w:tcPr>
            <w:tcW w:w="851" w:type="dxa"/>
            <w:shd w:val="clear" w:color="auto" w:fill="auto"/>
            <w:vAlign w:val="center"/>
          </w:tcPr>
          <w:p w14:paraId="4DC6A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14:paraId="59CA2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shd w:val="clear" w:color="auto" w:fill="auto"/>
            <w:vAlign w:val="center"/>
          </w:tcPr>
          <w:p w14:paraId="3B577231">
            <w:pPr>
              <w:widowControl/>
              <w:jc w:val="center"/>
              <w:rPr>
                <w:rFonts w:hint="eastAsia" w:ascii="宋体" w:hAnsi="宋体" w:cs="宋体"/>
                <w:color w:val="000000"/>
                <w:kern w:val="0"/>
                <w:sz w:val="20"/>
                <w:szCs w:val="20"/>
              </w:rPr>
            </w:pPr>
          </w:p>
        </w:tc>
      </w:tr>
      <w:tr w14:paraId="56519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21F05E27">
            <w:pPr>
              <w:widowControl/>
              <w:jc w:val="left"/>
              <w:rPr>
                <w:rFonts w:hint="eastAsia" w:ascii="宋体" w:hAnsi="宋体" w:cs="宋体"/>
                <w:color w:val="000000"/>
                <w:kern w:val="0"/>
                <w:sz w:val="20"/>
                <w:szCs w:val="20"/>
              </w:rPr>
            </w:pPr>
          </w:p>
        </w:tc>
        <w:tc>
          <w:tcPr>
            <w:tcW w:w="416" w:type="dxa"/>
            <w:vMerge w:val="continue"/>
            <w:vAlign w:val="center"/>
          </w:tcPr>
          <w:p w14:paraId="1D58D011">
            <w:pPr>
              <w:widowControl/>
              <w:jc w:val="left"/>
              <w:rPr>
                <w:rFonts w:hint="eastAsia" w:ascii="宋体" w:hAnsi="宋体" w:cs="宋体"/>
                <w:color w:val="000000"/>
                <w:kern w:val="0"/>
                <w:sz w:val="20"/>
                <w:szCs w:val="20"/>
              </w:rPr>
            </w:pPr>
          </w:p>
        </w:tc>
        <w:tc>
          <w:tcPr>
            <w:tcW w:w="1119" w:type="dxa"/>
            <w:gridSpan w:val="2"/>
            <w:shd w:val="clear" w:color="auto" w:fill="auto"/>
            <w:vAlign w:val="center"/>
          </w:tcPr>
          <w:p w14:paraId="7332E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0265C8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采购边销茶质量合格率</w:t>
            </w:r>
          </w:p>
        </w:tc>
        <w:tc>
          <w:tcPr>
            <w:tcW w:w="1134" w:type="dxa"/>
            <w:shd w:val="clear" w:color="auto" w:fill="auto"/>
            <w:vAlign w:val="center"/>
          </w:tcPr>
          <w:p w14:paraId="15B7CE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476F2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shd w:val="clear" w:color="auto" w:fill="auto"/>
            <w:vAlign w:val="center"/>
          </w:tcPr>
          <w:p w14:paraId="0E883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14:paraId="1A32F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gridSpan w:val="2"/>
            <w:shd w:val="clear" w:color="auto" w:fill="auto"/>
            <w:vAlign w:val="center"/>
          </w:tcPr>
          <w:p w14:paraId="3076BD86">
            <w:pPr>
              <w:widowControl/>
              <w:jc w:val="center"/>
              <w:rPr>
                <w:rFonts w:hint="eastAsia" w:ascii="宋体" w:hAnsi="宋体" w:cs="宋体"/>
                <w:color w:val="000000"/>
                <w:kern w:val="0"/>
                <w:sz w:val="20"/>
                <w:szCs w:val="20"/>
              </w:rPr>
            </w:pPr>
          </w:p>
        </w:tc>
      </w:tr>
      <w:tr w14:paraId="48E7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134B59B3">
            <w:pPr>
              <w:widowControl/>
              <w:jc w:val="left"/>
              <w:rPr>
                <w:rFonts w:hint="eastAsia" w:ascii="宋体" w:hAnsi="宋体" w:cs="宋体"/>
                <w:color w:val="000000"/>
                <w:kern w:val="0"/>
                <w:sz w:val="20"/>
                <w:szCs w:val="20"/>
              </w:rPr>
            </w:pPr>
          </w:p>
        </w:tc>
        <w:tc>
          <w:tcPr>
            <w:tcW w:w="416" w:type="dxa"/>
            <w:vMerge w:val="continue"/>
            <w:vAlign w:val="center"/>
          </w:tcPr>
          <w:p w14:paraId="4CBCD835">
            <w:pPr>
              <w:widowControl/>
              <w:jc w:val="left"/>
              <w:rPr>
                <w:rFonts w:hint="eastAsia" w:ascii="宋体" w:hAnsi="宋体" w:cs="宋体"/>
                <w:color w:val="000000"/>
                <w:kern w:val="0"/>
                <w:sz w:val="20"/>
                <w:szCs w:val="20"/>
              </w:rPr>
            </w:pPr>
          </w:p>
        </w:tc>
        <w:tc>
          <w:tcPr>
            <w:tcW w:w="1119" w:type="dxa"/>
            <w:gridSpan w:val="2"/>
            <w:shd w:val="clear" w:color="auto" w:fill="auto"/>
            <w:vAlign w:val="center"/>
          </w:tcPr>
          <w:p w14:paraId="03BF3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5A4FEE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低氟边销茶发放完成率</w:t>
            </w:r>
          </w:p>
        </w:tc>
        <w:tc>
          <w:tcPr>
            <w:tcW w:w="1134" w:type="dxa"/>
            <w:shd w:val="clear" w:color="auto" w:fill="auto"/>
            <w:vAlign w:val="center"/>
          </w:tcPr>
          <w:p w14:paraId="478F8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67CF6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shd w:val="clear" w:color="auto" w:fill="auto"/>
            <w:vAlign w:val="center"/>
          </w:tcPr>
          <w:p w14:paraId="1A806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14:paraId="4B114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gridSpan w:val="2"/>
            <w:shd w:val="clear" w:color="auto" w:fill="auto"/>
            <w:vAlign w:val="center"/>
          </w:tcPr>
          <w:p w14:paraId="6FF9455E">
            <w:pPr>
              <w:widowControl/>
              <w:jc w:val="center"/>
              <w:rPr>
                <w:rFonts w:hint="eastAsia" w:ascii="宋体" w:hAnsi="宋体" w:cs="宋体"/>
                <w:color w:val="000000"/>
                <w:kern w:val="0"/>
                <w:sz w:val="20"/>
                <w:szCs w:val="20"/>
              </w:rPr>
            </w:pPr>
          </w:p>
        </w:tc>
      </w:tr>
      <w:tr w14:paraId="58C9B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672DF5D2">
            <w:pPr>
              <w:widowControl/>
              <w:jc w:val="left"/>
              <w:rPr>
                <w:rFonts w:hint="eastAsia" w:ascii="宋体" w:hAnsi="宋体" w:cs="宋体"/>
                <w:color w:val="000000"/>
                <w:kern w:val="0"/>
                <w:sz w:val="20"/>
                <w:szCs w:val="20"/>
              </w:rPr>
            </w:pPr>
          </w:p>
        </w:tc>
        <w:tc>
          <w:tcPr>
            <w:tcW w:w="416" w:type="dxa"/>
            <w:vMerge w:val="continue"/>
            <w:vAlign w:val="center"/>
          </w:tcPr>
          <w:p w14:paraId="693C5958">
            <w:pPr>
              <w:widowControl/>
              <w:jc w:val="left"/>
              <w:rPr>
                <w:rFonts w:hint="eastAsia" w:ascii="宋体" w:hAnsi="宋体" w:cs="宋体"/>
                <w:color w:val="000000"/>
                <w:kern w:val="0"/>
                <w:sz w:val="20"/>
                <w:szCs w:val="20"/>
              </w:rPr>
            </w:pPr>
          </w:p>
        </w:tc>
        <w:tc>
          <w:tcPr>
            <w:tcW w:w="1119" w:type="dxa"/>
            <w:gridSpan w:val="2"/>
            <w:shd w:val="clear" w:color="auto" w:fill="auto"/>
            <w:vAlign w:val="center"/>
          </w:tcPr>
          <w:p w14:paraId="4B3C7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59" w:type="dxa"/>
            <w:gridSpan w:val="2"/>
            <w:shd w:val="clear" w:color="auto" w:fill="auto"/>
            <w:noWrap/>
            <w:vAlign w:val="center"/>
          </w:tcPr>
          <w:p w14:paraId="6B0483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边销茶按计划发放完成时间</w:t>
            </w:r>
          </w:p>
        </w:tc>
        <w:tc>
          <w:tcPr>
            <w:tcW w:w="1134" w:type="dxa"/>
            <w:shd w:val="clear" w:color="auto" w:fill="auto"/>
            <w:vAlign w:val="center"/>
          </w:tcPr>
          <w:p w14:paraId="273DA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&lt;=3个月</w:t>
            </w:r>
          </w:p>
        </w:tc>
        <w:tc>
          <w:tcPr>
            <w:tcW w:w="1134" w:type="dxa"/>
            <w:shd w:val="clear" w:color="auto" w:fill="auto"/>
            <w:vAlign w:val="center"/>
          </w:tcPr>
          <w:p w14:paraId="02CC4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=3个月</w:t>
            </w:r>
          </w:p>
        </w:tc>
        <w:tc>
          <w:tcPr>
            <w:tcW w:w="851" w:type="dxa"/>
            <w:shd w:val="clear" w:color="auto" w:fill="auto"/>
            <w:vAlign w:val="center"/>
          </w:tcPr>
          <w:p w14:paraId="71D9B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14:paraId="4867A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shd w:val="clear" w:color="auto" w:fill="auto"/>
            <w:vAlign w:val="center"/>
          </w:tcPr>
          <w:p w14:paraId="4C6BA5F0">
            <w:pPr>
              <w:widowControl/>
              <w:jc w:val="center"/>
              <w:rPr>
                <w:rFonts w:hint="eastAsia" w:ascii="宋体" w:hAnsi="宋体" w:cs="宋体"/>
                <w:color w:val="000000"/>
                <w:kern w:val="0"/>
                <w:sz w:val="20"/>
                <w:szCs w:val="20"/>
              </w:rPr>
            </w:pPr>
          </w:p>
        </w:tc>
      </w:tr>
      <w:tr w14:paraId="704BC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4D340E96">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1208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9" w:type="dxa"/>
            <w:gridSpan w:val="2"/>
            <w:shd w:val="clear" w:color="auto" w:fill="auto"/>
            <w:vAlign w:val="center"/>
          </w:tcPr>
          <w:p w14:paraId="36E64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59" w:type="dxa"/>
            <w:gridSpan w:val="2"/>
            <w:shd w:val="clear" w:color="auto" w:fill="auto"/>
            <w:noWrap/>
            <w:vAlign w:val="center"/>
          </w:tcPr>
          <w:p w14:paraId="3BCAFC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采购边销茶单价标准</w:t>
            </w:r>
          </w:p>
        </w:tc>
        <w:tc>
          <w:tcPr>
            <w:tcW w:w="1134" w:type="dxa"/>
            <w:shd w:val="clear" w:color="auto" w:fill="auto"/>
            <w:vAlign w:val="center"/>
          </w:tcPr>
          <w:p w14:paraId="75488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&lt;=22元/盒</w:t>
            </w:r>
          </w:p>
        </w:tc>
        <w:tc>
          <w:tcPr>
            <w:tcW w:w="1134" w:type="dxa"/>
            <w:shd w:val="clear" w:color="auto" w:fill="auto"/>
            <w:vAlign w:val="center"/>
          </w:tcPr>
          <w:p w14:paraId="79C9D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=22元/盒</w:t>
            </w:r>
          </w:p>
        </w:tc>
        <w:tc>
          <w:tcPr>
            <w:tcW w:w="851" w:type="dxa"/>
            <w:shd w:val="clear" w:color="auto" w:fill="auto"/>
            <w:vAlign w:val="center"/>
          </w:tcPr>
          <w:p w14:paraId="4E456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14:paraId="574B6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shd w:val="clear" w:color="auto" w:fill="auto"/>
            <w:vAlign w:val="center"/>
          </w:tcPr>
          <w:p w14:paraId="02DCEBB9">
            <w:pPr>
              <w:widowControl/>
              <w:jc w:val="center"/>
              <w:rPr>
                <w:rFonts w:hint="eastAsia" w:ascii="宋体" w:hAnsi="宋体" w:cs="宋体"/>
                <w:color w:val="000000"/>
                <w:kern w:val="0"/>
                <w:sz w:val="20"/>
                <w:szCs w:val="20"/>
              </w:rPr>
            </w:pPr>
          </w:p>
        </w:tc>
      </w:tr>
      <w:tr w14:paraId="4B9D2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26590FAF">
            <w:pPr>
              <w:widowControl/>
              <w:jc w:val="left"/>
              <w:rPr>
                <w:rFonts w:hint="eastAsia" w:ascii="宋体" w:hAnsi="宋体" w:cs="宋体"/>
                <w:color w:val="000000"/>
                <w:kern w:val="0"/>
                <w:sz w:val="20"/>
                <w:szCs w:val="20"/>
              </w:rPr>
            </w:pPr>
          </w:p>
        </w:tc>
        <w:tc>
          <w:tcPr>
            <w:tcW w:w="416" w:type="dxa"/>
            <w:vMerge w:val="continue"/>
            <w:vAlign w:val="center"/>
          </w:tcPr>
          <w:p w14:paraId="41BB63F2">
            <w:pPr>
              <w:widowControl/>
              <w:jc w:val="left"/>
              <w:rPr>
                <w:rFonts w:hint="eastAsia" w:ascii="宋体" w:hAnsi="宋体" w:cs="宋体"/>
                <w:color w:val="000000"/>
                <w:kern w:val="0"/>
                <w:sz w:val="20"/>
                <w:szCs w:val="20"/>
              </w:rPr>
            </w:pPr>
          </w:p>
        </w:tc>
        <w:tc>
          <w:tcPr>
            <w:tcW w:w="1119" w:type="dxa"/>
            <w:gridSpan w:val="2"/>
            <w:shd w:val="clear" w:color="auto" w:fill="auto"/>
            <w:vAlign w:val="center"/>
          </w:tcPr>
          <w:p w14:paraId="4CF61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59" w:type="dxa"/>
            <w:gridSpan w:val="2"/>
            <w:shd w:val="clear" w:color="auto" w:fill="auto"/>
            <w:noWrap/>
            <w:vAlign w:val="center"/>
          </w:tcPr>
          <w:p w14:paraId="18DD12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发放边销茶时对特困户生活造成影响事件</w:t>
            </w:r>
          </w:p>
        </w:tc>
        <w:tc>
          <w:tcPr>
            <w:tcW w:w="1134" w:type="dxa"/>
            <w:shd w:val="clear" w:color="auto" w:fill="auto"/>
            <w:vAlign w:val="center"/>
          </w:tcPr>
          <w:p w14:paraId="74178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shd w:val="clear" w:color="auto" w:fill="auto"/>
            <w:vAlign w:val="center"/>
          </w:tcPr>
          <w:p w14:paraId="46BEB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1" w:type="dxa"/>
            <w:shd w:val="clear" w:color="auto" w:fill="auto"/>
            <w:vAlign w:val="center"/>
          </w:tcPr>
          <w:p w14:paraId="1CF90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14:paraId="1824E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shd w:val="clear" w:color="auto" w:fill="auto"/>
            <w:vAlign w:val="center"/>
          </w:tcPr>
          <w:p w14:paraId="59E89B5D">
            <w:pPr>
              <w:widowControl/>
              <w:jc w:val="center"/>
              <w:rPr>
                <w:rFonts w:hint="eastAsia" w:ascii="宋体" w:hAnsi="宋体" w:cs="宋体"/>
                <w:color w:val="000000"/>
                <w:kern w:val="0"/>
                <w:sz w:val="20"/>
                <w:szCs w:val="20"/>
              </w:rPr>
            </w:pPr>
          </w:p>
        </w:tc>
      </w:tr>
      <w:tr w14:paraId="54F6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1C5A85C8">
            <w:pPr>
              <w:widowControl/>
              <w:jc w:val="left"/>
              <w:rPr>
                <w:rFonts w:hint="eastAsia" w:ascii="宋体" w:hAnsi="宋体" w:cs="宋体"/>
                <w:color w:val="000000"/>
                <w:kern w:val="0"/>
                <w:sz w:val="20"/>
                <w:szCs w:val="20"/>
              </w:rPr>
            </w:pPr>
          </w:p>
        </w:tc>
        <w:tc>
          <w:tcPr>
            <w:tcW w:w="416" w:type="dxa"/>
            <w:vMerge w:val="continue"/>
            <w:vAlign w:val="center"/>
          </w:tcPr>
          <w:p w14:paraId="57CB0B24">
            <w:pPr>
              <w:widowControl/>
              <w:jc w:val="left"/>
              <w:rPr>
                <w:rFonts w:hint="eastAsia" w:ascii="宋体" w:hAnsi="宋体" w:cs="宋体"/>
                <w:color w:val="000000"/>
                <w:kern w:val="0"/>
                <w:sz w:val="20"/>
                <w:szCs w:val="20"/>
              </w:rPr>
            </w:pPr>
          </w:p>
        </w:tc>
        <w:tc>
          <w:tcPr>
            <w:tcW w:w="1119" w:type="dxa"/>
            <w:gridSpan w:val="2"/>
            <w:shd w:val="clear" w:color="auto" w:fill="auto"/>
            <w:vAlign w:val="center"/>
          </w:tcPr>
          <w:p w14:paraId="23775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59" w:type="dxa"/>
            <w:gridSpan w:val="2"/>
            <w:shd w:val="clear" w:color="auto" w:fill="auto"/>
            <w:noWrap/>
            <w:vAlign w:val="center"/>
          </w:tcPr>
          <w:p w14:paraId="34E4C0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受益特困户人数</w:t>
            </w:r>
          </w:p>
        </w:tc>
        <w:tc>
          <w:tcPr>
            <w:tcW w:w="1134" w:type="dxa"/>
            <w:shd w:val="clear" w:color="auto" w:fill="auto"/>
            <w:vAlign w:val="center"/>
          </w:tcPr>
          <w:p w14:paraId="46AB5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&gt;=1400人</w:t>
            </w:r>
          </w:p>
        </w:tc>
        <w:tc>
          <w:tcPr>
            <w:tcW w:w="1134" w:type="dxa"/>
            <w:shd w:val="clear" w:color="auto" w:fill="auto"/>
            <w:vAlign w:val="center"/>
          </w:tcPr>
          <w:p w14:paraId="35A2F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=1400人</w:t>
            </w:r>
          </w:p>
        </w:tc>
        <w:tc>
          <w:tcPr>
            <w:tcW w:w="851" w:type="dxa"/>
            <w:shd w:val="clear" w:color="auto" w:fill="auto"/>
            <w:vAlign w:val="center"/>
          </w:tcPr>
          <w:p w14:paraId="47FC2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dxa"/>
            <w:gridSpan w:val="2"/>
            <w:shd w:val="clear" w:color="auto" w:fill="auto"/>
            <w:vAlign w:val="center"/>
          </w:tcPr>
          <w:p w14:paraId="2F23B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4" w:type="dxa"/>
            <w:gridSpan w:val="2"/>
            <w:shd w:val="clear" w:color="auto" w:fill="auto"/>
            <w:vAlign w:val="center"/>
          </w:tcPr>
          <w:p w14:paraId="0927BFD2">
            <w:pPr>
              <w:widowControl/>
              <w:jc w:val="center"/>
              <w:rPr>
                <w:rFonts w:hint="eastAsia" w:ascii="宋体" w:hAnsi="宋体" w:cs="宋体"/>
                <w:color w:val="000000"/>
                <w:kern w:val="0"/>
                <w:sz w:val="20"/>
                <w:szCs w:val="20"/>
              </w:rPr>
            </w:pPr>
          </w:p>
        </w:tc>
      </w:tr>
      <w:tr w14:paraId="029E0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416" w:type="dxa"/>
            <w:vMerge w:val="continue"/>
            <w:vAlign w:val="center"/>
          </w:tcPr>
          <w:p w14:paraId="1A0D4A37">
            <w:pPr>
              <w:widowControl/>
              <w:jc w:val="left"/>
              <w:rPr>
                <w:rFonts w:hint="eastAsia" w:ascii="宋体" w:hAnsi="宋体" w:cs="宋体"/>
                <w:color w:val="000000"/>
                <w:kern w:val="0"/>
                <w:sz w:val="20"/>
                <w:szCs w:val="20"/>
              </w:rPr>
            </w:pPr>
          </w:p>
        </w:tc>
        <w:tc>
          <w:tcPr>
            <w:tcW w:w="416" w:type="dxa"/>
            <w:shd w:val="clear" w:color="auto" w:fill="auto"/>
            <w:vAlign w:val="center"/>
          </w:tcPr>
          <w:p w14:paraId="0AE4D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9" w:type="dxa"/>
            <w:gridSpan w:val="2"/>
            <w:shd w:val="clear" w:color="auto" w:fill="auto"/>
            <w:vAlign w:val="center"/>
          </w:tcPr>
          <w:p w14:paraId="08713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59" w:type="dxa"/>
            <w:gridSpan w:val="2"/>
            <w:shd w:val="clear" w:color="auto" w:fill="auto"/>
            <w:noWrap/>
            <w:vAlign w:val="center"/>
          </w:tcPr>
          <w:p w14:paraId="7A5B38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特困户满意度</w:t>
            </w:r>
          </w:p>
        </w:tc>
        <w:tc>
          <w:tcPr>
            <w:tcW w:w="1134" w:type="dxa"/>
            <w:shd w:val="clear" w:color="auto" w:fill="auto"/>
            <w:vAlign w:val="center"/>
          </w:tcPr>
          <w:p w14:paraId="18883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14:paraId="3C5AA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51" w:type="dxa"/>
            <w:shd w:val="clear" w:color="auto" w:fill="auto"/>
            <w:vAlign w:val="center"/>
          </w:tcPr>
          <w:p w14:paraId="7C31C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14:paraId="1CA31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shd w:val="clear" w:color="auto" w:fill="auto"/>
            <w:vAlign w:val="center"/>
          </w:tcPr>
          <w:p w14:paraId="38D5F17D">
            <w:pPr>
              <w:widowControl/>
              <w:jc w:val="center"/>
              <w:rPr>
                <w:rFonts w:hint="eastAsia" w:ascii="宋体" w:hAnsi="宋体" w:cs="宋体"/>
                <w:color w:val="000000"/>
                <w:kern w:val="0"/>
                <w:sz w:val="20"/>
                <w:szCs w:val="20"/>
              </w:rPr>
            </w:pPr>
          </w:p>
        </w:tc>
      </w:tr>
      <w:tr w14:paraId="13A1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778" w:type="dxa"/>
            <w:gridSpan w:val="8"/>
            <w:shd w:val="clear" w:color="auto" w:fill="auto"/>
            <w:vAlign w:val="center"/>
          </w:tcPr>
          <w:p w14:paraId="04394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1" w:type="dxa"/>
            <w:shd w:val="clear" w:color="auto" w:fill="auto"/>
            <w:vAlign w:val="center"/>
          </w:tcPr>
          <w:p w14:paraId="24C90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14:paraId="4EA45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4" w:type="dxa"/>
            <w:gridSpan w:val="2"/>
            <w:shd w:val="clear" w:color="auto" w:fill="auto"/>
            <w:vAlign w:val="center"/>
          </w:tcPr>
          <w:p w14:paraId="10CC95F2">
            <w:pPr>
              <w:widowControl/>
              <w:jc w:val="center"/>
              <w:rPr>
                <w:rFonts w:hint="eastAsia" w:ascii="宋体" w:hAnsi="宋体" w:cs="宋体"/>
                <w:color w:val="000000"/>
                <w:kern w:val="0"/>
                <w:sz w:val="20"/>
                <w:szCs w:val="20"/>
              </w:rPr>
            </w:pPr>
          </w:p>
        </w:tc>
      </w:tr>
    </w:tbl>
    <w:p w14:paraId="24FDF3D7">
      <w:pPr>
        <w:ind w:firstLine="640" w:firstLineChars="200"/>
        <w:jc w:val="left"/>
        <w:rPr>
          <w:rFonts w:hint="eastAsia" w:ascii="黑体" w:hAnsi="黑体" w:eastAsia="黑体" w:cs="宋体"/>
          <w:bCs/>
          <w:kern w:val="0"/>
          <w:sz w:val="32"/>
          <w:szCs w:val="32"/>
        </w:rPr>
      </w:pPr>
    </w:p>
    <w:p w14:paraId="3D804517">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CE74FDB">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50EF6FDB">
      <w:pPr>
        <w:jc w:val="center"/>
        <w:outlineLvl w:val="0"/>
        <w:rPr>
          <w:rFonts w:hint="eastAsia" w:ascii="黑体" w:hAnsi="黑体" w:eastAsia="黑体"/>
          <w:sz w:val="32"/>
          <w:szCs w:val="32"/>
        </w:rPr>
      </w:pPr>
      <w:bookmarkStart w:id="31" w:name="_Toc3250"/>
      <w:bookmarkStart w:id="32"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0CA3029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4A7597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320C2D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ADF6EF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08B026A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8C71B3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96B412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2AF55E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B7F457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C9A1D6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F66295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D4DE32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010072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EEBDDB">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EF642DD">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86FFCFE">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14:paraId="6B49548B">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14:paraId="773D4224">
      <w:pPr>
        <w:ind w:firstLine="640" w:firstLineChars="200"/>
        <w:outlineLvl w:val="1"/>
        <w:rPr>
          <w:rFonts w:hint="eastAsia"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14:paraId="041F63C8">
      <w:pPr>
        <w:ind w:firstLine="640" w:firstLineChars="200"/>
        <w:outlineLvl w:val="1"/>
        <w:rPr>
          <w:rFonts w:hint="eastAsia"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14:paraId="43439725">
      <w:pPr>
        <w:ind w:firstLine="640" w:firstLineChars="200"/>
        <w:outlineLvl w:val="1"/>
        <w:rPr>
          <w:rFonts w:hint="eastAsia"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14:paraId="130A35B8">
      <w:pPr>
        <w:ind w:firstLine="640" w:firstLineChars="200"/>
        <w:outlineLvl w:val="1"/>
        <w:rPr>
          <w:rFonts w:hint="eastAsia"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14:paraId="09BB8E11">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29106"/>
      <w:bookmarkStart w:id="46" w:name="_Toc32663"/>
      <w:r>
        <w:rPr>
          <w:rFonts w:hint="eastAsia" w:ascii="黑体" w:hAnsi="黑体" w:eastAsia="仿宋_GB2312" w:cs="宋体"/>
          <w:bCs/>
          <w:kern w:val="0"/>
          <w:sz w:val="32"/>
          <w:szCs w:val="32"/>
        </w:rPr>
        <w:t>《财政拨款“三公”经费支出决算表》</w:t>
      </w:r>
      <w:bookmarkEnd w:id="45"/>
      <w:bookmarkEnd w:id="46"/>
    </w:p>
    <w:p w14:paraId="7B45DAD1">
      <w:pPr>
        <w:ind w:firstLine="640" w:firstLineChars="200"/>
        <w:outlineLvl w:val="1"/>
        <w:rPr>
          <w:rFonts w:hint="eastAsia" w:ascii="黑体" w:hAnsi="黑体" w:eastAsia="仿宋_GB2312" w:cs="宋体"/>
          <w:bCs/>
          <w:kern w:val="0"/>
          <w:sz w:val="32"/>
          <w:szCs w:val="32"/>
        </w:rPr>
      </w:pPr>
      <w:bookmarkStart w:id="47" w:name="_Toc5453"/>
      <w:bookmarkStart w:id="48" w:name="_Toc7643"/>
      <w:r>
        <w:rPr>
          <w:rFonts w:hint="eastAsia" w:ascii="黑体" w:hAnsi="黑体" w:eastAsia="仿宋_GB2312" w:cs="宋体"/>
          <w:bCs/>
          <w:kern w:val="0"/>
          <w:sz w:val="32"/>
          <w:szCs w:val="32"/>
        </w:rPr>
        <w:t>八、《政府性基金预算财政拨款收入支出决算表》</w:t>
      </w:r>
      <w:bookmarkEnd w:id="47"/>
      <w:bookmarkEnd w:id="48"/>
    </w:p>
    <w:p w14:paraId="41E8906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1F92287">
      <w:pPr>
        <w:ind w:firstLine="640" w:firstLineChars="200"/>
        <w:rPr>
          <w:rFonts w:ascii="仿宋_GB2312" w:eastAsia="仿宋_GB2312"/>
          <w:sz w:val="32"/>
          <w:szCs w:val="32"/>
        </w:rPr>
      </w:pPr>
    </w:p>
    <w:p w14:paraId="1DAE5DBA">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1BD8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308877">
                          <w:pPr>
                            <w:pStyle w:val="4"/>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E308877">
                    <w:pPr>
                      <w:pStyle w:val="4"/>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8A7A43"/>
    <w:rsid w:val="00037A23"/>
    <w:rsid w:val="00113CE9"/>
    <w:rsid w:val="00213C59"/>
    <w:rsid w:val="0022602C"/>
    <w:rsid w:val="00264263"/>
    <w:rsid w:val="00317323"/>
    <w:rsid w:val="003210CE"/>
    <w:rsid w:val="003546CF"/>
    <w:rsid w:val="0039089D"/>
    <w:rsid w:val="003E5254"/>
    <w:rsid w:val="004E4C77"/>
    <w:rsid w:val="00556E6E"/>
    <w:rsid w:val="005F3D24"/>
    <w:rsid w:val="00761EEB"/>
    <w:rsid w:val="007C2EBA"/>
    <w:rsid w:val="008A7A43"/>
    <w:rsid w:val="00915F70"/>
    <w:rsid w:val="009334C7"/>
    <w:rsid w:val="00973487"/>
    <w:rsid w:val="009A4E39"/>
    <w:rsid w:val="00A637C9"/>
    <w:rsid w:val="00A83D7D"/>
    <w:rsid w:val="00B128D6"/>
    <w:rsid w:val="00B41A4F"/>
    <w:rsid w:val="00B70D59"/>
    <w:rsid w:val="00BA774E"/>
    <w:rsid w:val="00BB4EAA"/>
    <w:rsid w:val="00BE0044"/>
    <w:rsid w:val="00C27E77"/>
    <w:rsid w:val="00C73ED3"/>
    <w:rsid w:val="00E17C24"/>
    <w:rsid w:val="00E90525"/>
    <w:rsid w:val="00E96E30"/>
    <w:rsid w:val="00F35853"/>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2A39DE"/>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5637</Words>
  <Characters>6516</Characters>
  <Lines>68</Lines>
  <Paragraphs>19</Paragraphs>
  <TotalTime>8</TotalTime>
  <ScaleCrop>false</ScaleCrop>
  <LinksUpToDate>false</LinksUpToDate>
  <CharactersWithSpaces>6524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2024-12-05T10:14:28Z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